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光小标宋_CNKI" w:hAnsi="华光小标宋_CNKI" w:eastAsia="华光小标宋_CNKI"/>
          <w:sz w:val="28"/>
        </w:rPr>
      </w:pPr>
      <w:r>
        <w:rPr>
          <w:rFonts w:hint="eastAsia" w:ascii="华光小标宋_CNKI" w:hAnsi="华光小标宋_CNKI" w:eastAsia="华光小标宋_CNKI"/>
          <w:sz w:val="28"/>
        </w:rPr>
        <w:t>附</w:t>
      </w:r>
      <w:r>
        <w:rPr>
          <w:rFonts w:hint="eastAsia" w:ascii="华光小标宋_CNKI" w:hAnsi="华光小标宋_CNKI" w:eastAsia="华光小标宋_CNKI"/>
          <w:sz w:val="28"/>
          <w:lang w:val="en-US" w:eastAsia="zh-CN"/>
        </w:rPr>
        <w:t>件</w:t>
      </w:r>
      <w:r>
        <w:rPr>
          <w:rFonts w:hint="eastAsia" w:ascii="华光小标宋_CNKI" w:hAnsi="华光小标宋_CNKI" w:eastAsia="华光小标宋_CNKI"/>
          <w:sz w:val="28"/>
        </w:rPr>
        <w:t>1：</w:t>
      </w:r>
    </w:p>
    <w:p>
      <w:pPr>
        <w:spacing w:before="156" w:beforeLines="50"/>
        <w:jc w:val="center"/>
        <w:rPr>
          <w:rFonts w:ascii="华光小标宋_CNKI" w:hAnsi="华光小标宋_CNKI" w:eastAsia="华光小标宋_CNKI"/>
          <w:sz w:val="40"/>
        </w:rPr>
      </w:pPr>
      <w:r>
        <w:rPr>
          <w:rFonts w:hint="eastAsia" w:ascii="华光小标宋_CNKI" w:hAnsi="华光小标宋_CNKI" w:eastAsia="华光小标宋_CNKI"/>
          <w:sz w:val="40"/>
        </w:rPr>
        <w:t>工业软件工程化与应用技术</w:t>
      </w:r>
    </w:p>
    <w:p>
      <w:pPr>
        <w:spacing w:after="156" w:afterLines="50"/>
        <w:jc w:val="center"/>
        <w:rPr>
          <w:rFonts w:ascii="华光小标宋_CNKI" w:hAnsi="华光小标宋_CNKI" w:eastAsia="华光小标宋_CNKI"/>
          <w:sz w:val="40"/>
        </w:rPr>
      </w:pPr>
      <w:r>
        <w:rPr>
          <w:rFonts w:hint="eastAsia" w:ascii="华光小标宋_CNKI" w:hAnsi="华光小标宋_CNKI" w:eastAsia="华光小标宋_CNKI"/>
          <w:sz w:val="40"/>
        </w:rPr>
        <w:t>工业和信息化部重点实验室</w:t>
      </w:r>
    </w:p>
    <w:p>
      <w:pPr>
        <w:spacing w:before="156" w:beforeLines="50" w:after="156" w:afterLines="50"/>
        <w:jc w:val="center"/>
        <w:rPr>
          <w:rFonts w:ascii="华光小标宋_CNKI" w:hAnsi="华光小标宋_CNKI" w:eastAsia="华光小标宋_CNKI"/>
          <w:sz w:val="32"/>
        </w:rPr>
      </w:pPr>
      <w:r>
        <w:rPr>
          <w:rFonts w:ascii="华光小标宋_CNKI" w:hAnsi="华光小标宋_CNKI" w:eastAsia="华光小标宋_CNKI"/>
          <w:sz w:val="32"/>
        </w:rPr>
        <w:t>202</w:t>
      </w:r>
      <w:r>
        <w:rPr>
          <w:rFonts w:hint="eastAsia" w:ascii="华光小标宋_CNKI" w:hAnsi="华光小标宋_CNKI" w:eastAsia="华光小标宋_CNKI"/>
          <w:sz w:val="32"/>
          <w:lang w:val="en-US" w:eastAsia="zh-CN"/>
        </w:rPr>
        <w:t>2</w:t>
      </w:r>
      <w:r>
        <w:rPr>
          <w:rFonts w:hint="eastAsia" w:ascii="华光小标宋_CNKI" w:hAnsi="华光小标宋_CNKI" w:eastAsia="华光小标宋_CNKI"/>
          <w:sz w:val="32"/>
        </w:rPr>
        <w:t>年开放课题指南</w:t>
      </w:r>
    </w:p>
    <w:p>
      <w:pPr>
        <w:ind w:firstLine="560" w:firstLineChars="200"/>
        <w:rPr>
          <w:rFonts w:asciiTheme="minorEastAsia" w:hAnsiTheme="minorEastAsia"/>
          <w:sz w:val="28"/>
        </w:rPr>
      </w:pPr>
      <w:r>
        <w:rPr>
          <w:rFonts w:hint="eastAsia" w:asciiTheme="minorEastAsia" w:hAnsiTheme="minorEastAsia"/>
          <w:sz w:val="28"/>
        </w:rPr>
        <w:t>工业软件工程化与应用技术工业和信息化部重点实验室（以下简称“实验室”）是工业和信息化部于2021年认定的省部级重点实验室，由工业和信息化部电子第五研究所作为依托单位。</w:t>
      </w:r>
      <w:r>
        <w:rPr>
          <w:rFonts w:hint="eastAsia"/>
          <w:sz w:val="28"/>
        </w:rPr>
        <w:t>实验室瞄准工业软件发展的国家重大战略需求，</w:t>
      </w:r>
      <w:r>
        <w:rPr>
          <w:rFonts w:hint="eastAsia" w:asciiTheme="minorEastAsia" w:hAnsiTheme="minorEastAsia"/>
          <w:sz w:val="28"/>
        </w:rPr>
        <w:t>解决工业软件的工业知识转化、软件工程能力不足等问题，开展面向工业软件的知识工程、软件工程关键技术和工具研发、以及工程化标准研制，提升国产工业软件的整体水平，培养高端技术人才，行业攻关，扩大行业影响，为促进工业软件高质量发展提供支持。</w:t>
      </w:r>
    </w:p>
    <w:p>
      <w:pPr>
        <w:ind w:firstLine="560" w:firstLineChars="200"/>
        <w:rPr>
          <w:rFonts w:asciiTheme="minorEastAsia" w:hAnsiTheme="minorEastAsia"/>
          <w:sz w:val="28"/>
        </w:rPr>
      </w:pPr>
      <w:r>
        <w:rPr>
          <w:rFonts w:hint="eastAsia" w:asciiTheme="minorEastAsia" w:hAnsiTheme="minorEastAsia"/>
          <w:sz w:val="28"/>
        </w:rPr>
        <w:t>实验室秉承“开放、流动、联合、竞争”的运行原则，为更好地吸引和支持国内外高水平研究人员来实验室开展合作或独立研究，强化和补充实验室主要研究方向的基础科学研究与应用开发研究，加强学术交流，实现实验室的开放效益，根据工信部科〔2014〕515号文件印发的《工业和信息化部重点实验室管理暂行办法》规定，结合我所及实验室具体情况，特设置开放课题。</w:t>
      </w:r>
    </w:p>
    <w:p>
      <w:pPr>
        <w:ind w:firstLine="560" w:firstLineChars="200"/>
        <w:rPr>
          <w:rFonts w:asciiTheme="minorEastAsia" w:hAnsiTheme="minorEastAsia"/>
          <w:sz w:val="28"/>
        </w:rPr>
      </w:pPr>
      <w:r>
        <w:rPr>
          <w:rFonts w:hint="eastAsia" w:asciiTheme="minorEastAsia" w:hAnsiTheme="minorEastAsia"/>
          <w:sz w:val="28"/>
        </w:rPr>
        <w:t>《202</w:t>
      </w:r>
      <w:r>
        <w:rPr>
          <w:rFonts w:hint="eastAsia" w:asciiTheme="minorEastAsia" w:hAnsiTheme="minorEastAsia"/>
          <w:sz w:val="28"/>
          <w:lang w:val="en-US" w:eastAsia="zh-CN"/>
        </w:rPr>
        <w:t>2</w:t>
      </w:r>
      <w:r>
        <w:rPr>
          <w:rFonts w:hint="eastAsia" w:asciiTheme="minorEastAsia" w:hAnsiTheme="minorEastAsia"/>
          <w:sz w:val="28"/>
        </w:rPr>
        <w:t>年开放课题指南》由实验室主任工作会议征询实验室学术委员会的意见制定和发布。开放课题的设置按照“公开透明、公平竞争、择优支持、突出重点”的原则，经过专家组评审和实验室主任工作会议审议确定。开放课题的管理实行实验室主任负责制，对课题的检查和验收坚持“鼓励创新、稳定支持、定性评价、宽容失败”的原则。开放课题面向国内外高等学校、科研机构以及国内大中型工业企业开放，凡具备申请条件的研究人员均可提出申请。</w:t>
      </w:r>
    </w:p>
    <w:p>
      <w:pPr>
        <w:pStyle w:val="2"/>
        <w:spacing w:before="156" w:beforeLines="50" w:after="156" w:afterLines="50" w:line="240" w:lineRule="auto"/>
        <w:rPr>
          <w:rFonts w:ascii="黑体" w:hAnsi="黑体" w:eastAsia="黑体"/>
          <w:sz w:val="28"/>
        </w:rPr>
      </w:pPr>
      <w:r>
        <w:rPr>
          <w:rFonts w:hint="eastAsia" w:ascii="黑体" w:hAnsi="黑体" w:eastAsia="黑体"/>
          <w:sz w:val="28"/>
        </w:rPr>
        <w:t>一、研究内容与技术指标</w:t>
      </w:r>
    </w:p>
    <w:p>
      <w:pPr>
        <w:spacing w:before="156" w:beforeLines="50"/>
        <w:ind w:firstLine="562" w:firstLineChars="200"/>
        <w:rPr>
          <w:rFonts w:asciiTheme="minorEastAsia" w:hAnsiTheme="minorEastAsia"/>
          <w:b/>
          <w:sz w:val="28"/>
        </w:rPr>
      </w:pPr>
      <w:r>
        <w:rPr>
          <w:rFonts w:asciiTheme="minorEastAsia" w:hAnsiTheme="minorEastAsia"/>
          <w:b/>
          <w:sz w:val="28"/>
        </w:rPr>
        <w:t>（</w:t>
      </w:r>
      <w:r>
        <w:rPr>
          <w:rFonts w:hint="eastAsia" w:asciiTheme="minorEastAsia" w:hAnsiTheme="minorEastAsia"/>
          <w:b/>
          <w:sz w:val="28"/>
        </w:rPr>
        <w:t>一</w:t>
      </w:r>
      <w:r>
        <w:rPr>
          <w:rFonts w:asciiTheme="minorEastAsia" w:hAnsiTheme="minorEastAsia"/>
          <w:b/>
          <w:sz w:val="28"/>
        </w:rPr>
        <w:t>）</w:t>
      </w:r>
      <w:r>
        <w:rPr>
          <w:rFonts w:hint="eastAsia" w:asciiTheme="minorEastAsia" w:hAnsiTheme="minorEastAsia"/>
          <w:b/>
          <w:sz w:val="28"/>
        </w:rPr>
        <w:t>复杂产品国产自主几何CAD模型边界表达规范研究</w:t>
      </w:r>
    </w:p>
    <w:p>
      <w:pPr>
        <w:ind w:firstLine="562" w:firstLineChars="200"/>
        <w:rPr>
          <w:rFonts w:asciiTheme="minorEastAsia" w:hAnsiTheme="minorEastAsia"/>
          <w:b/>
          <w:sz w:val="28"/>
        </w:rPr>
      </w:pPr>
      <w:r>
        <w:rPr>
          <w:rFonts w:hint="eastAsia" w:asciiTheme="minorEastAsia" w:hAnsiTheme="minorEastAsia"/>
          <w:b/>
          <w:sz w:val="28"/>
        </w:rPr>
        <w:t>1.研究目标</w:t>
      </w:r>
    </w:p>
    <w:p>
      <w:pPr>
        <w:ind w:firstLine="560" w:firstLineChars="200"/>
        <w:rPr>
          <w:rFonts w:asciiTheme="minorEastAsia" w:hAnsiTheme="minorEastAsia"/>
          <w:sz w:val="28"/>
        </w:rPr>
      </w:pPr>
      <w:r>
        <w:rPr>
          <w:rFonts w:hint="eastAsia" w:asciiTheme="minorEastAsia" w:hAnsiTheme="minorEastAsia"/>
          <w:sz w:val="28"/>
        </w:rPr>
        <w:t>研究航空航天、工程机械、船舶等行业产品形状特征，结合CAD模型边界拓扑几何数学表达方法，提出符合我国制造业需求的产品CAD模型自主边界表达规范，使国产CAD系统基于统一表达规范构建产品几何表达，产品几何在国产CAD/CAM/CAE软件之间无损传递。</w:t>
      </w:r>
    </w:p>
    <w:p>
      <w:pPr>
        <w:ind w:firstLine="562" w:firstLineChars="200"/>
        <w:rPr>
          <w:rFonts w:asciiTheme="minorEastAsia" w:hAnsiTheme="minorEastAsia"/>
          <w:b/>
          <w:sz w:val="28"/>
        </w:rPr>
      </w:pPr>
      <w:r>
        <w:rPr>
          <w:rFonts w:hint="eastAsia" w:asciiTheme="minorEastAsia" w:hAnsiTheme="minorEastAsia"/>
          <w:b/>
          <w:sz w:val="28"/>
        </w:rPr>
        <w:t>2.主要研究内容</w:t>
      </w:r>
    </w:p>
    <w:p>
      <w:pPr>
        <w:ind w:firstLine="560" w:firstLineChars="200"/>
        <w:rPr>
          <w:rFonts w:hint="eastAsia" w:asciiTheme="minorEastAsia" w:hAnsiTheme="minorEastAsia"/>
          <w:bCs/>
          <w:sz w:val="28"/>
        </w:rPr>
      </w:pPr>
      <w:r>
        <w:rPr>
          <w:rFonts w:hint="eastAsia" w:asciiTheme="minorEastAsia" w:hAnsiTheme="minorEastAsia"/>
          <w:bCs/>
          <w:sz w:val="28"/>
        </w:rPr>
        <w:t>（1）三维点云及网格表达方法与规范；</w:t>
      </w:r>
    </w:p>
    <w:p>
      <w:pPr>
        <w:ind w:firstLine="560" w:firstLineChars="200"/>
        <w:rPr>
          <w:rFonts w:hint="eastAsia" w:asciiTheme="minorEastAsia" w:hAnsiTheme="minorEastAsia"/>
          <w:bCs/>
          <w:sz w:val="28"/>
        </w:rPr>
      </w:pPr>
      <w:r>
        <w:rPr>
          <w:rFonts w:hint="eastAsia" w:asciiTheme="minorEastAsia" w:hAnsiTheme="minorEastAsia"/>
          <w:bCs/>
          <w:sz w:val="28"/>
        </w:rPr>
        <w:t>（</w:t>
      </w:r>
      <w:r>
        <w:rPr>
          <w:rFonts w:hint="eastAsia" w:asciiTheme="minorEastAsia" w:hAnsiTheme="minorEastAsia"/>
          <w:bCs/>
          <w:sz w:val="28"/>
          <w:lang w:val="en-US" w:eastAsia="zh-CN"/>
        </w:rPr>
        <w:t>2</w:t>
      </w:r>
      <w:r>
        <w:rPr>
          <w:rFonts w:hint="eastAsia" w:asciiTheme="minorEastAsia" w:hAnsiTheme="minorEastAsia"/>
          <w:bCs/>
          <w:sz w:val="28"/>
        </w:rPr>
        <w:t>）二维/三维几何曲线方程表达方法与规范；</w:t>
      </w:r>
    </w:p>
    <w:p>
      <w:pPr>
        <w:ind w:firstLine="560" w:firstLineChars="200"/>
        <w:rPr>
          <w:rFonts w:hint="eastAsia" w:asciiTheme="minorEastAsia" w:hAnsiTheme="minorEastAsia"/>
          <w:bCs/>
          <w:sz w:val="28"/>
        </w:rPr>
      </w:pPr>
      <w:r>
        <w:rPr>
          <w:rFonts w:hint="eastAsia" w:asciiTheme="minorEastAsia" w:hAnsiTheme="minorEastAsia"/>
          <w:bCs/>
          <w:sz w:val="28"/>
        </w:rPr>
        <w:t>（</w:t>
      </w:r>
      <w:r>
        <w:rPr>
          <w:rFonts w:hint="eastAsia" w:asciiTheme="minorEastAsia" w:hAnsiTheme="minorEastAsia"/>
          <w:bCs/>
          <w:sz w:val="28"/>
          <w:lang w:val="en-US" w:eastAsia="zh-CN"/>
        </w:rPr>
        <w:t>3</w:t>
      </w:r>
      <w:r>
        <w:rPr>
          <w:rFonts w:hint="eastAsia" w:asciiTheme="minorEastAsia" w:hAnsiTheme="minorEastAsia"/>
          <w:bCs/>
          <w:sz w:val="28"/>
        </w:rPr>
        <w:t>）三维曲面几何方程表达方法与规范；</w:t>
      </w:r>
    </w:p>
    <w:p>
      <w:pPr>
        <w:ind w:firstLine="560" w:firstLineChars="200"/>
        <w:rPr>
          <w:rFonts w:hint="eastAsia" w:asciiTheme="minorEastAsia" w:hAnsiTheme="minorEastAsia" w:eastAsiaTheme="minorEastAsia"/>
          <w:sz w:val="28"/>
          <w:lang w:eastAsia="zh-CN"/>
        </w:rPr>
      </w:pPr>
      <w:r>
        <w:rPr>
          <w:rFonts w:hint="eastAsia" w:asciiTheme="minorEastAsia" w:hAnsiTheme="minorEastAsia"/>
          <w:bCs/>
          <w:sz w:val="28"/>
        </w:rPr>
        <w:t>（</w:t>
      </w:r>
      <w:r>
        <w:rPr>
          <w:rFonts w:hint="eastAsia" w:asciiTheme="minorEastAsia" w:hAnsiTheme="minorEastAsia"/>
          <w:bCs/>
          <w:sz w:val="28"/>
          <w:lang w:val="en-US" w:eastAsia="zh-CN"/>
        </w:rPr>
        <w:t>4</w:t>
      </w:r>
      <w:r>
        <w:rPr>
          <w:rFonts w:hint="eastAsia" w:asciiTheme="minorEastAsia" w:hAnsiTheme="minorEastAsia"/>
          <w:bCs/>
          <w:sz w:val="28"/>
        </w:rPr>
        <w:t>）融合线框、曲面与实体的拓扑统一表达方法与规范。</w:t>
      </w:r>
    </w:p>
    <w:p>
      <w:pPr>
        <w:ind w:firstLine="562" w:firstLineChars="200"/>
        <w:rPr>
          <w:rFonts w:asciiTheme="minorEastAsia" w:hAnsiTheme="minorEastAsia"/>
          <w:b/>
          <w:sz w:val="28"/>
        </w:rPr>
      </w:pPr>
      <w:r>
        <w:rPr>
          <w:rFonts w:asciiTheme="minorEastAsia" w:hAnsiTheme="minorEastAsia"/>
          <w:b/>
          <w:sz w:val="28"/>
        </w:rPr>
        <w:t>3.</w:t>
      </w:r>
      <w:r>
        <w:rPr>
          <w:rFonts w:hint="eastAsia" w:asciiTheme="minorEastAsia" w:hAnsiTheme="minorEastAsia"/>
          <w:b/>
          <w:sz w:val="28"/>
        </w:rPr>
        <w:t>验收指标</w:t>
      </w:r>
    </w:p>
    <w:p>
      <w:pPr>
        <w:ind w:firstLine="560" w:firstLineChars="200"/>
        <w:rPr>
          <w:rFonts w:hint="eastAsia" w:asciiTheme="minorEastAsia" w:hAnsiTheme="minorEastAsia" w:eastAsiaTheme="minorEastAsia"/>
          <w:bCs/>
          <w:sz w:val="28"/>
          <w:lang w:eastAsia="zh-CN"/>
        </w:rPr>
      </w:pPr>
      <w:r>
        <w:rPr>
          <w:rFonts w:hint="eastAsia" w:asciiTheme="minorEastAsia" w:hAnsiTheme="minorEastAsia"/>
          <w:bCs/>
          <w:sz w:val="28"/>
        </w:rPr>
        <w:t>（1）复杂产品拓扑几何边界表示调研报告</w:t>
      </w:r>
      <w:r>
        <w:rPr>
          <w:rFonts w:hint="eastAsia" w:asciiTheme="minorEastAsia" w:hAnsiTheme="minorEastAsia"/>
          <w:bCs/>
          <w:sz w:val="28"/>
          <w:lang w:eastAsia="zh-CN"/>
        </w:rPr>
        <w:t>；</w:t>
      </w:r>
    </w:p>
    <w:p>
      <w:pPr>
        <w:ind w:firstLine="560" w:firstLineChars="200"/>
        <w:rPr>
          <w:rFonts w:hint="eastAsia" w:asciiTheme="minorEastAsia" w:hAnsiTheme="minorEastAsia" w:eastAsiaTheme="minorEastAsia"/>
          <w:sz w:val="28"/>
          <w:lang w:eastAsia="zh-CN"/>
        </w:rPr>
      </w:pPr>
      <w:r>
        <w:rPr>
          <w:rFonts w:hint="eastAsia" w:asciiTheme="minorEastAsia" w:hAnsiTheme="minorEastAsia"/>
          <w:bCs/>
          <w:sz w:val="28"/>
        </w:rPr>
        <w:t>（2）复杂产品融合线框、曲面与实体几何拓扑统一表达规范初稿</w:t>
      </w:r>
      <w:r>
        <w:rPr>
          <w:rFonts w:hint="eastAsia" w:asciiTheme="minorEastAsia" w:hAnsiTheme="minorEastAsia"/>
          <w:bCs/>
          <w:sz w:val="28"/>
          <w:lang w:eastAsia="zh-CN"/>
        </w:rPr>
        <w:t>。</w:t>
      </w:r>
    </w:p>
    <w:p>
      <w:pPr>
        <w:ind w:firstLine="562" w:firstLineChars="200"/>
        <w:rPr>
          <w:rFonts w:asciiTheme="minorEastAsia" w:hAnsiTheme="minorEastAsia"/>
          <w:b/>
          <w:sz w:val="28"/>
        </w:rPr>
      </w:pPr>
      <w:r>
        <w:rPr>
          <w:rFonts w:asciiTheme="minorEastAsia" w:hAnsiTheme="minorEastAsia"/>
          <w:b/>
          <w:sz w:val="28"/>
        </w:rPr>
        <w:t>4.</w:t>
      </w:r>
      <w:r>
        <w:rPr>
          <w:rFonts w:hint="eastAsia" w:asciiTheme="minorEastAsia" w:hAnsiTheme="minorEastAsia"/>
          <w:b/>
          <w:sz w:val="28"/>
        </w:rPr>
        <w:t>完成年限</w:t>
      </w:r>
    </w:p>
    <w:p>
      <w:pPr>
        <w:ind w:firstLine="560" w:firstLineChars="200"/>
        <w:rPr>
          <w:rFonts w:asciiTheme="minorEastAsia" w:hAnsiTheme="minorEastAsia"/>
          <w:sz w:val="28"/>
        </w:rPr>
      </w:pPr>
      <w:r>
        <w:rPr>
          <w:rFonts w:hint="eastAsia" w:asciiTheme="minorEastAsia" w:hAnsiTheme="minorEastAsia"/>
          <w:sz w:val="28"/>
        </w:rPr>
        <w:t>1年。</w:t>
      </w:r>
    </w:p>
    <w:p>
      <w:pPr>
        <w:ind w:firstLine="562" w:firstLineChars="200"/>
        <w:rPr>
          <w:rFonts w:asciiTheme="minorEastAsia" w:hAnsiTheme="minorEastAsia"/>
          <w:b/>
          <w:sz w:val="28"/>
        </w:rPr>
      </w:pPr>
      <w:r>
        <w:rPr>
          <w:rFonts w:asciiTheme="minorEastAsia" w:hAnsiTheme="minorEastAsia"/>
          <w:b/>
          <w:sz w:val="28"/>
        </w:rPr>
        <w:t>5.</w:t>
      </w:r>
      <w:r>
        <w:rPr>
          <w:rFonts w:hint="eastAsia" w:asciiTheme="minorEastAsia" w:hAnsiTheme="minorEastAsia"/>
          <w:b/>
          <w:sz w:val="28"/>
        </w:rPr>
        <w:t>资助金额</w:t>
      </w:r>
    </w:p>
    <w:p>
      <w:pPr>
        <w:ind w:firstLine="560" w:firstLineChars="200"/>
        <w:rPr>
          <w:rFonts w:asciiTheme="minorEastAsia" w:hAnsiTheme="minorEastAsia"/>
          <w:sz w:val="28"/>
        </w:rPr>
      </w:pPr>
      <w:r>
        <w:rPr>
          <w:rFonts w:hint="eastAsia" w:asciiTheme="minorEastAsia" w:hAnsiTheme="minorEastAsia"/>
          <w:sz w:val="28"/>
          <w:lang w:val="en-US" w:eastAsia="zh-CN"/>
        </w:rPr>
        <w:t>2</w:t>
      </w:r>
      <w:r>
        <w:rPr>
          <w:rFonts w:hint="eastAsia" w:asciiTheme="minorEastAsia" w:hAnsiTheme="minorEastAsia"/>
          <w:sz w:val="28"/>
        </w:rPr>
        <w:t>0万元。</w:t>
      </w:r>
    </w:p>
    <w:p>
      <w:pPr>
        <w:spacing w:before="156" w:beforeLines="50"/>
        <w:ind w:firstLine="562" w:firstLineChars="200"/>
        <w:rPr>
          <w:rFonts w:hint="eastAsia" w:ascii="Times New Roman" w:hAnsi="Times New Roman" w:eastAsia="宋体" w:cs="Times New Roman"/>
          <w:b/>
          <w:sz w:val="28"/>
          <w:lang w:eastAsia="zh-CN"/>
        </w:rPr>
      </w:pPr>
      <w:r>
        <w:rPr>
          <w:rFonts w:asciiTheme="minorEastAsia" w:hAnsiTheme="minorEastAsia"/>
          <w:b/>
          <w:sz w:val="28"/>
        </w:rPr>
        <w:t>（</w:t>
      </w:r>
      <w:r>
        <w:rPr>
          <w:rFonts w:hint="eastAsia" w:asciiTheme="minorEastAsia" w:hAnsiTheme="minorEastAsia"/>
          <w:b/>
          <w:sz w:val="28"/>
          <w:lang w:val="en-US" w:eastAsia="zh-CN"/>
        </w:rPr>
        <w:t>二</w:t>
      </w:r>
      <w:r>
        <w:rPr>
          <w:rFonts w:asciiTheme="minorEastAsia" w:hAnsiTheme="minorEastAsia"/>
          <w:b/>
          <w:sz w:val="28"/>
        </w:rPr>
        <w:t>）</w:t>
      </w:r>
      <w:r>
        <w:rPr>
          <w:rFonts w:hint="eastAsia" w:ascii="宋体" w:hAnsi="宋体" w:eastAsia="宋体" w:cs="Times New Roman"/>
          <w:b/>
          <w:sz w:val="28"/>
        </w:rPr>
        <w:t>基于模型转换的汽车功能安全</w:t>
      </w:r>
      <w:r>
        <w:rPr>
          <w:rFonts w:hint="eastAsia" w:ascii="宋体" w:hAnsi="宋体" w:eastAsia="宋体" w:cs="Times New Roman"/>
          <w:b/>
          <w:sz w:val="28"/>
          <w:lang w:val="en-US" w:eastAsia="zh-CN"/>
        </w:rPr>
        <w:t>知识图谱</w:t>
      </w:r>
    </w:p>
    <w:p>
      <w:pPr>
        <w:ind w:firstLine="560" w:firstLineChars="200"/>
        <w:rPr>
          <w:rFonts w:ascii="Times New Roman" w:hAnsi="Times New Roman" w:eastAsia="宋体" w:cs="Times New Roman"/>
          <w:sz w:val="28"/>
        </w:rPr>
      </w:pPr>
      <w:r>
        <w:rPr>
          <w:rFonts w:hint="eastAsia" w:ascii="宋体" w:hAnsi="宋体" w:eastAsia="宋体" w:cs="Times New Roman"/>
          <w:bCs/>
          <w:sz w:val="28"/>
        </w:rPr>
        <w:t>构建典型汽车系统模型和可靠性模型的知识图谱，初步形成系统性的知识库，为基于模型转换的汽车功能安全分析方法的研究提供坚实的工作基础和系统性的指导。</w:t>
      </w:r>
    </w:p>
    <w:p>
      <w:pPr>
        <w:ind w:firstLine="562" w:firstLineChars="200"/>
        <w:rPr>
          <w:rFonts w:ascii="Times New Roman" w:hAnsi="Times New Roman" w:eastAsia="宋体" w:cs="Times New Roman"/>
          <w:b/>
          <w:sz w:val="28"/>
        </w:rPr>
      </w:pPr>
      <w:r>
        <w:rPr>
          <w:rFonts w:ascii="Times New Roman" w:hAnsi="Times New Roman" w:eastAsia="宋体" w:cs="Times New Roman"/>
          <w:b/>
          <w:sz w:val="28"/>
        </w:rPr>
        <w:t>2.主要研究内容</w:t>
      </w:r>
    </w:p>
    <w:p>
      <w:pPr>
        <w:ind w:firstLine="560" w:firstLineChars="200"/>
        <w:rPr>
          <w:rFonts w:hint="eastAsia" w:asciiTheme="minorEastAsia" w:hAnsiTheme="minorEastAsia"/>
          <w:bCs/>
          <w:sz w:val="28"/>
          <w:lang w:eastAsia="zh-CN"/>
        </w:rPr>
      </w:pPr>
      <w:r>
        <w:rPr>
          <w:rFonts w:hint="eastAsia" w:asciiTheme="minorEastAsia" w:hAnsiTheme="minorEastAsia"/>
          <w:bCs/>
          <w:sz w:val="28"/>
          <w:lang w:eastAsia="zh-CN"/>
        </w:rPr>
        <w:t>(1)典型汽车系统模型（描述系统与子系统、子系统与模块或部件、以及软硬件模块/部件之间关系）及其表示方法，包括但不限于通信网络信号矩阵、系统控制信号图、系统软件功能表等系统模型表示方法。</w:t>
      </w:r>
    </w:p>
    <w:p>
      <w:pPr>
        <w:ind w:firstLine="560" w:firstLineChars="200"/>
        <w:rPr>
          <w:rFonts w:hint="eastAsia" w:asciiTheme="minorEastAsia" w:hAnsiTheme="minorEastAsia"/>
          <w:bCs/>
          <w:sz w:val="28"/>
          <w:lang w:eastAsia="zh-CN"/>
        </w:rPr>
      </w:pPr>
      <w:r>
        <w:rPr>
          <w:rFonts w:hint="eastAsia" w:asciiTheme="minorEastAsia" w:hAnsiTheme="minorEastAsia"/>
          <w:bCs/>
          <w:sz w:val="28"/>
          <w:lang w:eastAsia="zh-CN"/>
        </w:rPr>
        <w:t>(2)典型汽车可靠性模型（包含故障树、不完全故障覆盖模型、无关性覆盖模型）及其定性定量分析方法。</w:t>
      </w:r>
    </w:p>
    <w:p>
      <w:pPr>
        <w:ind w:firstLine="560" w:firstLineChars="200"/>
        <w:rPr>
          <w:rFonts w:hint="eastAsia" w:asciiTheme="minorEastAsia" w:hAnsiTheme="minorEastAsia"/>
          <w:bCs/>
          <w:sz w:val="28"/>
          <w:lang w:eastAsia="zh-CN"/>
        </w:rPr>
      </w:pPr>
      <w:r>
        <w:rPr>
          <w:rFonts w:hint="eastAsia" w:asciiTheme="minorEastAsia" w:hAnsiTheme="minorEastAsia"/>
          <w:bCs/>
          <w:sz w:val="28"/>
          <w:lang w:eastAsia="zh-CN"/>
        </w:rPr>
        <w:t>(3)分析典型汽车系统模型中各个模块和部件之间功能依赖关系，合理划分汽车功能模块，研究其与可靠性模型中各种故障事件间因果关系的对应关系，构建典型汽车系统模型与可靠性模型对应的关系规范。</w:t>
      </w:r>
    </w:p>
    <w:p>
      <w:pPr>
        <w:ind w:firstLine="560" w:firstLineChars="200"/>
        <w:rPr>
          <w:rFonts w:hint="default" w:ascii="Times New Roman" w:hAnsi="Times New Roman" w:eastAsia="宋体" w:cs="Times New Roman"/>
          <w:sz w:val="28"/>
          <w:lang w:val="en-US" w:eastAsia="zh-CN"/>
        </w:rPr>
      </w:pPr>
      <w:r>
        <w:rPr>
          <w:rFonts w:hint="eastAsia" w:asciiTheme="minorEastAsia" w:hAnsiTheme="minorEastAsia"/>
          <w:bCs/>
          <w:sz w:val="28"/>
          <w:lang w:eastAsia="zh-CN"/>
        </w:rPr>
        <w:t>(4)根据关系规范构建汽车系统模型、可靠性模型、以及系统模型与可靠性模型之间转换关系的知识图谱，建立从系统模型到可靠性模型的转换规则，为基于模型转换的汽车功能安全分析提供技术支持。</w:t>
      </w:r>
    </w:p>
    <w:p>
      <w:pPr>
        <w:ind w:firstLine="562" w:firstLineChars="200"/>
        <w:rPr>
          <w:rFonts w:ascii="Times New Roman" w:hAnsi="Times New Roman" w:eastAsia="宋体" w:cs="Times New Roman"/>
          <w:b/>
          <w:sz w:val="28"/>
        </w:rPr>
      </w:pPr>
      <w:r>
        <w:rPr>
          <w:rFonts w:ascii="Times New Roman" w:hAnsi="Times New Roman" w:eastAsia="宋体" w:cs="Times New Roman"/>
          <w:b/>
          <w:sz w:val="28"/>
        </w:rPr>
        <w:t>3.验收指标</w:t>
      </w:r>
    </w:p>
    <w:p>
      <w:pPr>
        <w:ind w:firstLine="560" w:firstLineChars="200"/>
        <w:rPr>
          <w:rFonts w:hint="eastAsia" w:ascii="Times New Roman" w:hAnsi="Times New Roman" w:eastAsia="宋体" w:cs="Times New Roman"/>
          <w:sz w:val="28"/>
        </w:rPr>
      </w:pPr>
      <w:r>
        <w:rPr>
          <w:rFonts w:hint="eastAsia" w:ascii="Times New Roman" w:hAnsi="Times New Roman" w:eastAsia="宋体" w:cs="Times New Roman"/>
          <w:sz w:val="28"/>
          <w:lang w:eastAsia="zh-CN"/>
        </w:rPr>
        <w:t>（</w:t>
      </w:r>
      <w:r>
        <w:rPr>
          <w:rFonts w:hint="eastAsia" w:ascii="Times New Roman" w:hAnsi="Times New Roman" w:eastAsia="宋体" w:cs="Times New Roman"/>
          <w:sz w:val="28"/>
          <w:lang w:val="en-US" w:eastAsia="zh-CN"/>
        </w:rPr>
        <w:t>1</w:t>
      </w:r>
      <w:r>
        <w:rPr>
          <w:rFonts w:hint="eastAsia" w:ascii="Times New Roman" w:hAnsi="Times New Roman" w:eastAsia="宋体" w:cs="Times New Roman"/>
          <w:sz w:val="28"/>
          <w:lang w:eastAsia="zh-CN"/>
        </w:rPr>
        <w:t>）</w:t>
      </w:r>
      <w:r>
        <w:rPr>
          <w:rFonts w:hint="eastAsia" w:ascii="Times New Roman" w:hAnsi="Times New Roman" w:eastAsia="宋体" w:cs="Times New Roman"/>
          <w:sz w:val="28"/>
        </w:rPr>
        <w:t>建立基于模型转换的汽车功能安全分析知识图谱。</w:t>
      </w:r>
    </w:p>
    <w:p>
      <w:pPr>
        <w:ind w:firstLine="560" w:firstLineChars="200"/>
        <w:rPr>
          <w:rFonts w:hint="eastAsia" w:ascii="Times New Roman" w:hAnsi="Times New Roman" w:eastAsia="宋体" w:cs="Times New Roman"/>
          <w:sz w:val="28"/>
        </w:rPr>
      </w:pPr>
      <w:r>
        <w:rPr>
          <w:rFonts w:hint="eastAsia" w:ascii="Times New Roman" w:hAnsi="Times New Roman" w:eastAsia="宋体" w:cs="Times New Roman"/>
          <w:sz w:val="28"/>
          <w:lang w:eastAsia="zh-CN"/>
        </w:rPr>
        <w:t>（</w:t>
      </w:r>
      <w:r>
        <w:rPr>
          <w:rFonts w:hint="eastAsia" w:ascii="Times New Roman" w:hAnsi="Times New Roman" w:eastAsia="宋体" w:cs="Times New Roman"/>
          <w:sz w:val="28"/>
          <w:lang w:val="en-US" w:eastAsia="zh-CN"/>
        </w:rPr>
        <w:t>2</w:t>
      </w:r>
      <w:r>
        <w:rPr>
          <w:rFonts w:hint="eastAsia" w:ascii="Times New Roman" w:hAnsi="Times New Roman" w:eastAsia="宋体" w:cs="Times New Roman"/>
          <w:sz w:val="28"/>
          <w:lang w:eastAsia="zh-CN"/>
        </w:rPr>
        <w:t>）</w:t>
      </w:r>
      <w:r>
        <w:rPr>
          <w:rFonts w:hint="eastAsia" w:ascii="Times New Roman" w:hAnsi="Times New Roman" w:eastAsia="宋体" w:cs="Times New Roman"/>
          <w:sz w:val="28"/>
        </w:rPr>
        <w:t>发表SCI/EI高水平论文1篇，申请发明专利1项。</w:t>
      </w:r>
    </w:p>
    <w:p>
      <w:pPr>
        <w:ind w:firstLine="562" w:firstLineChars="200"/>
        <w:rPr>
          <w:rFonts w:asciiTheme="minorEastAsia" w:hAnsiTheme="minorEastAsia"/>
          <w:b/>
          <w:sz w:val="28"/>
        </w:rPr>
      </w:pPr>
      <w:r>
        <w:rPr>
          <w:rFonts w:asciiTheme="minorEastAsia" w:hAnsiTheme="minorEastAsia"/>
          <w:b/>
          <w:sz w:val="28"/>
        </w:rPr>
        <w:t>4.</w:t>
      </w:r>
      <w:r>
        <w:rPr>
          <w:rFonts w:hint="eastAsia" w:asciiTheme="minorEastAsia" w:hAnsiTheme="minorEastAsia"/>
          <w:b/>
          <w:sz w:val="28"/>
        </w:rPr>
        <w:t>完成年限</w:t>
      </w:r>
    </w:p>
    <w:p>
      <w:pPr>
        <w:ind w:firstLine="560" w:firstLineChars="200"/>
        <w:rPr>
          <w:rFonts w:hint="eastAsia" w:asciiTheme="minorEastAsia" w:hAnsiTheme="minorEastAsia" w:eastAsiaTheme="minorEastAsia"/>
          <w:sz w:val="28"/>
          <w:lang w:eastAsia="zh-CN"/>
        </w:rPr>
      </w:pPr>
      <w:r>
        <w:rPr>
          <w:rFonts w:hint="eastAsia" w:asciiTheme="minorEastAsia" w:hAnsiTheme="minorEastAsia"/>
          <w:sz w:val="28"/>
          <w:lang w:val="en-US" w:eastAsia="zh-CN"/>
        </w:rPr>
        <w:t>1.5</w:t>
      </w:r>
      <w:r>
        <w:rPr>
          <w:rFonts w:hint="eastAsia" w:asciiTheme="minorEastAsia" w:hAnsiTheme="minorEastAsia"/>
          <w:sz w:val="28"/>
        </w:rPr>
        <w:t>年</w:t>
      </w:r>
      <w:r>
        <w:rPr>
          <w:rFonts w:hint="eastAsia" w:asciiTheme="minorEastAsia" w:hAnsiTheme="minorEastAsia"/>
          <w:sz w:val="28"/>
          <w:lang w:eastAsia="zh-CN"/>
        </w:rPr>
        <w:t>。</w:t>
      </w:r>
    </w:p>
    <w:p>
      <w:pPr>
        <w:ind w:firstLine="562" w:firstLineChars="200"/>
        <w:rPr>
          <w:rFonts w:asciiTheme="minorEastAsia" w:hAnsiTheme="minorEastAsia"/>
          <w:b/>
          <w:sz w:val="28"/>
        </w:rPr>
      </w:pPr>
      <w:r>
        <w:rPr>
          <w:rFonts w:asciiTheme="minorEastAsia" w:hAnsiTheme="minorEastAsia"/>
          <w:b/>
          <w:sz w:val="28"/>
        </w:rPr>
        <w:t>5.</w:t>
      </w:r>
      <w:r>
        <w:rPr>
          <w:rFonts w:hint="eastAsia" w:asciiTheme="minorEastAsia" w:hAnsiTheme="minorEastAsia"/>
          <w:b/>
          <w:sz w:val="28"/>
        </w:rPr>
        <w:t>资助金额</w:t>
      </w:r>
    </w:p>
    <w:p>
      <w:pPr>
        <w:ind w:firstLine="560" w:firstLineChars="200"/>
        <w:rPr>
          <w:rFonts w:hint="eastAsia" w:asciiTheme="minorEastAsia" w:hAnsiTheme="minorEastAsia"/>
          <w:sz w:val="28"/>
        </w:rPr>
      </w:pPr>
      <w:r>
        <w:rPr>
          <w:rFonts w:hint="eastAsia" w:asciiTheme="minorEastAsia" w:hAnsiTheme="minorEastAsia"/>
          <w:sz w:val="28"/>
          <w:lang w:val="en-US" w:eastAsia="zh-CN"/>
        </w:rPr>
        <w:t>2</w:t>
      </w:r>
      <w:r>
        <w:rPr>
          <w:rFonts w:hint="eastAsia" w:asciiTheme="minorEastAsia" w:hAnsiTheme="minorEastAsia"/>
          <w:sz w:val="28"/>
        </w:rPr>
        <w:t>0万元。</w:t>
      </w:r>
    </w:p>
    <w:p>
      <w:pPr>
        <w:spacing w:before="156" w:beforeLines="50"/>
        <w:ind w:firstLine="562" w:firstLineChars="200"/>
        <w:rPr>
          <w:rFonts w:hint="eastAsia" w:ascii="Times New Roman" w:hAnsi="Times New Roman" w:eastAsia="宋体" w:cs="Times New Roman"/>
          <w:b/>
          <w:sz w:val="28"/>
          <w:lang w:eastAsia="zh-CN"/>
        </w:rPr>
      </w:pPr>
      <w:r>
        <w:rPr>
          <w:rFonts w:asciiTheme="minorEastAsia" w:hAnsiTheme="minorEastAsia"/>
          <w:b/>
          <w:sz w:val="28"/>
        </w:rPr>
        <w:t>（</w:t>
      </w:r>
      <w:r>
        <w:rPr>
          <w:rFonts w:hint="eastAsia" w:asciiTheme="minorEastAsia" w:hAnsiTheme="minorEastAsia"/>
          <w:b/>
          <w:sz w:val="28"/>
          <w:lang w:val="en-US" w:eastAsia="zh-CN"/>
        </w:rPr>
        <w:t>三</w:t>
      </w:r>
      <w:r>
        <w:rPr>
          <w:rFonts w:asciiTheme="minorEastAsia" w:hAnsiTheme="minorEastAsia"/>
          <w:b/>
          <w:sz w:val="28"/>
        </w:rPr>
        <w:t>）</w:t>
      </w:r>
      <w:r>
        <w:rPr>
          <w:rFonts w:hint="eastAsia" w:asciiTheme="minorEastAsia" w:hAnsiTheme="minorEastAsia"/>
          <w:b/>
          <w:sz w:val="28"/>
        </w:rPr>
        <w:t>面向大规模工业软件的成分智能管控技术</w:t>
      </w:r>
    </w:p>
    <w:p>
      <w:pPr>
        <w:ind w:firstLine="562" w:firstLineChars="200"/>
        <w:rPr>
          <w:rFonts w:ascii="Times New Roman" w:hAnsi="Times New Roman" w:eastAsia="宋体" w:cs="Times New Roman"/>
          <w:b/>
          <w:sz w:val="28"/>
        </w:rPr>
      </w:pPr>
      <w:r>
        <w:rPr>
          <w:rFonts w:ascii="Times New Roman" w:hAnsi="Times New Roman" w:eastAsia="宋体" w:cs="Times New Roman"/>
          <w:b/>
          <w:sz w:val="28"/>
        </w:rPr>
        <w:t>1.研究目标</w:t>
      </w:r>
    </w:p>
    <w:p>
      <w:pPr>
        <w:ind w:firstLine="560" w:firstLineChars="200"/>
        <w:rPr>
          <w:rFonts w:hint="eastAsia" w:ascii="Times New Roman" w:hAnsi="Times New Roman" w:eastAsia="宋体" w:cs="Times New Roman"/>
          <w:sz w:val="28"/>
        </w:rPr>
      </w:pPr>
      <w:r>
        <w:rPr>
          <w:rFonts w:hint="eastAsia" w:ascii="Times New Roman" w:hAnsi="Times New Roman" w:eastAsia="宋体" w:cs="Times New Roman"/>
          <w:sz w:val="28"/>
        </w:rPr>
        <w:t>中国作为世界第一制造大国，工业生产领域实现全生命周期覆盖，但对标全球市场，我国制造业增加值占全球比例28%，工业软件仅占比6%；工业软件企业规模与全球头部厂商对比存在较大提升空间。目前我国正处于工业软件发展的第三个阶段—“工业云”阶段，在这个阶段，软件不再是单一的软件，而是集成多种软件，并提供“软件服务”的整体解决方案。</w:t>
      </w:r>
    </w:p>
    <w:p>
      <w:pPr>
        <w:ind w:firstLine="560" w:firstLineChars="200"/>
        <w:rPr>
          <w:rFonts w:hint="eastAsia" w:ascii="Times New Roman" w:hAnsi="Times New Roman" w:eastAsia="宋体" w:cs="Times New Roman"/>
          <w:sz w:val="28"/>
        </w:rPr>
      </w:pPr>
      <w:r>
        <w:rPr>
          <w:rFonts w:hint="eastAsia" w:ascii="Times New Roman" w:hAnsi="Times New Roman" w:eastAsia="宋体" w:cs="Times New Roman"/>
          <w:sz w:val="28"/>
        </w:rPr>
        <w:t>伴随着工业软件的规模增加，一个工业软件的开发也正呈现出“全球化”的特点。正如一件产品的配件可能来自不同的国家和厂商，一套复杂软件系统可能由不同地方的人员共同设计完成，因此供应链安全也成为工业软件的重要风险点。</w:t>
      </w:r>
    </w:p>
    <w:p>
      <w:pPr>
        <w:ind w:firstLine="562" w:firstLineChars="200"/>
        <w:rPr>
          <w:rFonts w:ascii="Times New Roman" w:hAnsi="Times New Roman" w:eastAsia="宋体" w:cs="Times New Roman"/>
          <w:b/>
          <w:sz w:val="28"/>
        </w:rPr>
      </w:pPr>
      <w:r>
        <w:rPr>
          <w:rFonts w:ascii="Times New Roman" w:hAnsi="Times New Roman" w:eastAsia="宋体" w:cs="Times New Roman"/>
          <w:b/>
          <w:sz w:val="28"/>
        </w:rPr>
        <w:t>2.主要研究内容</w:t>
      </w:r>
    </w:p>
    <w:p>
      <w:pPr>
        <w:pStyle w:val="15"/>
        <w:numPr>
          <w:ilvl w:val="0"/>
          <w:numId w:val="1"/>
        </w:numPr>
        <w:spacing w:line="360" w:lineRule="auto"/>
        <w:ind w:firstLineChars="0"/>
        <w:rPr>
          <w:rFonts w:asciiTheme="minorEastAsia" w:hAnsiTheme="minorEastAsia"/>
          <w:bCs/>
          <w:sz w:val="28"/>
          <w:szCs w:val="28"/>
        </w:rPr>
      </w:pPr>
      <w:r>
        <w:rPr>
          <w:rFonts w:hint="eastAsia" w:asciiTheme="minorEastAsia" w:hAnsiTheme="minorEastAsia"/>
          <w:bCs/>
          <w:sz w:val="28"/>
          <w:szCs w:val="28"/>
        </w:rPr>
        <w:t>面向集成大规模组件的工业软件成分穿透技术</w:t>
      </w:r>
    </w:p>
    <w:p>
      <w:pPr>
        <w:pStyle w:val="15"/>
        <w:spacing w:line="360" w:lineRule="auto"/>
        <w:ind w:left="1140" w:firstLine="0" w:firstLineChars="0"/>
        <w:rPr>
          <w:rFonts w:asciiTheme="minorEastAsia" w:hAnsiTheme="minorEastAsia"/>
          <w:bCs/>
          <w:sz w:val="24"/>
          <w:szCs w:val="24"/>
        </w:rPr>
      </w:pPr>
      <w:r>
        <w:rPr>
          <w:rFonts w:hint="eastAsia" w:asciiTheme="minorEastAsia" w:hAnsiTheme="minorEastAsia"/>
          <w:bCs/>
          <w:sz w:val="24"/>
          <w:szCs w:val="24"/>
        </w:rPr>
        <w:t>针对“工业云”场景下的工业软件内部自研和外部依赖组件规模大，不透明这一关键问题，研究针对源码以及字节码等多制品的大规模工业软件成分穿透技术：</w:t>
      </w:r>
    </w:p>
    <w:p>
      <w:pPr>
        <w:pStyle w:val="15"/>
        <w:numPr>
          <w:ilvl w:val="0"/>
          <w:numId w:val="2"/>
        </w:numPr>
        <w:spacing w:line="360" w:lineRule="auto"/>
        <w:ind w:firstLineChars="0"/>
        <w:rPr>
          <w:rFonts w:asciiTheme="minorEastAsia" w:hAnsiTheme="minorEastAsia"/>
          <w:bCs/>
          <w:sz w:val="24"/>
          <w:szCs w:val="24"/>
        </w:rPr>
      </w:pPr>
      <w:r>
        <w:rPr>
          <w:rFonts w:hint="eastAsia" w:asciiTheme="minorEastAsia" w:hAnsiTheme="minorEastAsia"/>
          <w:bCs/>
          <w:sz w:val="24"/>
          <w:szCs w:val="24"/>
        </w:rPr>
        <w:t>针对工业软件依赖的自研组件和外部组件威胁频发这一问题，研究基于代码指纹的大规模工业软件成分清单构建及软件资产管理技术；</w:t>
      </w:r>
    </w:p>
    <w:p>
      <w:pPr>
        <w:pStyle w:val="15"/>
        <w:numPr>
          <w:ilvl w:val="0"/>
          <w:numId w:val="2"/>
        </w:numPr>
        <w:spacing w:line="360" w:lineRule="auto"/>
        <w:ind w:firstLineChars="0"/>
        <w:rPr>
          <w:rFonts w:asciiTheme="minorEastAsia" w:hAnsiTheme="minorEastAsia"/>
          <w:bCs/>
          <w:sz w:val="24"/>
          <w:szCs w:val="24"/>
        </w:rPr>
      </w:pPr>
      <w:r>
        <w:rPr>
          <w:rFonts w:hint="eastAsia" w:asciiTheme="minorEastAsia" w:hAnsiTheme="minorEastAsia"/>
          <w:bCs/>
          <w:sz w:val="24"/>
          <w:szCs w:val="24"/>
        </w:rPr>
        <w:t>针对复杂工业软件系统成分依赖精确度不足这一问题，研究基于程序依赖图的多粒度依赖关系精确剖析的技术；</w:t>
      </w:r>
    </w:p>
    <w:p>
      <w:pPr>
        <w:pStyle w:val="15"/>
        <w:numPr>
          <w:ilvl w:val="0"/>
          <w:numId w:val="2"/>
        </w:numPr>
        <w:spacing w:line="360" w:lineRule="auto"/>
        <w:ind w:firstLineChars="0"/>
        <w:rPr>
          <w:rFonts w:asciiTheme="minorEastAsia" w:hAnsiTheme="minorEastAsia"/>
          <w:bCs/>
          <w:szCs w:val="21"/>
        </w:rPr>
      </w:pPr>
      <w:r>
        <w:rPr>
          <w:rFonts w:hint="eastAsia" w:asciiTheme="minorEastAsia" w:hAnsiTheme="minorEastAsia"/>
          <w:bCs/>
          <w:sz w:val="24"/>
          <w:szCs w:val="24"/>
        </w:rPr>
        <w:t>基于成分分析结果，汇总生成软件自主可控性报告，如对开源代码的引用率以及核心技术库的引用率等。</w:t>
      </w:r>
    </w:p>
    <w:p>
      <w:pPr>
        <w:pStyle w:val="15"/>
        <w:numPr>
          <w:ilvl w:val="0"/>
          <w:numId w:val="1"/>
        </w:numPr>
        <w:spacing w:line="360" w:lineRule="auto"/>
        <w:ind w:firstLineChars="0"/>
        <w:rPr>
          <w:rFonts w:asciiTheme="minorEastAsia" w:hAnsiTheme="minorEastAsia"/>
          <w:bCs/>
          <w:sz w:val="28"/>
          <w:szCs w:val="28"/>
        </w:rPr>
      </w:pPr>
      <w:r>
        <w:rPr>
          <w:rFonts w:hint="eastAsia" w:asciiTheme="minorEastAsia" w:hAnsiTheme="minorEastAsia"/>
          <w:bCs/>
          <w:sz w:val="28"/>
          <w:szCs w:val="28"/>
        </w:rPr>
        <w:t>面向工业软件供应链的智能风险感知技术</w:t>
      </w:r>
    </w:p>
    <w:p>
      <w:pPr>
        <w:pStyle w:val="15"/>
        <w:spacing w:line="360" w:lineRule="auto"/>
        <w:ind w:left="1140" w:firstLine="0" w:firstLineChars="0"/>
        <w:rPr>
          <w:rFonts w:asciiTheme="minorEastAsia" w:hAnsiTheme="minorEastAsia"/>
          <w:bCs/>
          <w:sz w:val="24"/>
          <w:szCs w:val="24"/>
        </w:rPr>
      </w:pPr>
      <w:r>
        <w:rPr>
          <w:rFonts w:hint="eastAsia" w:asciiTheme="minorEastAsia" w:hAnsiTheme="minorEastAsia"/>
          <w:bCs/>
          <w:sz w:val="24"/>
          <w:szCs w:val="24"/>
        </w:rPr>
        <w:t>针对工业软件上游供应链渠道不明确，从而导致安全事件频发这一问题，研究基于覆盖多渠道的供应链知识库的知识融合的漏洞感知技术：</w:t>
      </w:r>
    </w:p>
    <w:p>
      <w:pPr>
        <w:pStyle w:val="15"/>
        <w:numPr>
          <w:ilvl w:val="0"/>
          <w:numId w:val="3"/>
        </w:numPr>
        <w:spacing w:line="360" w:lineRule="auto"/>
        <w:ind w:firstLineChars="0"/>
        <w:rPr>
          <w:rFonts w:asciiTheme="minorEastAsia" w:hAnsiTheme="minorEastAsia"/>
          <w:bCs/>
          <w:sz w:val="24"/>
          <w:szCs w:val="24"/>
        </w:rPr>
      </w:pPr>
      <w:r>
        <w:rPr>
          <w:rFonts w:hint="eastAsia" w:asciiTheme="minorEastAsia" w:hAnsiTheme="minorEastAsia"/>
          <w:bCs/>
          <w:sz w:val="24"/>
          <w:szCs w:val="24"/>
        </w:rPr>
        <w:t>针对工业软件上游供应链问题发布延迟高的问题，研究基于结合程序分析以及人工智能的软件风险监控以及智能感知技术；</w:t>
      </w:r>
    </w:p>
    <w:p>
      <w:pPr>
        <w:pStyle w:val="15"/>
        <w:numPr>
          <w:ilvl w:val="0"/>
          <w:numId w:val="3"/>
        </w:numPr>
        <w:spacing w:line="360" w:lineRule="auto"/>
        <w:ind w:firstLineChars="0"/>
        <w:rPr>
          <w:rFonts w:asciiTheme="minorEastAsia" w:hAnsiTheme="minorEastAsia"/>
          <w:bCs/>
          <w:sz w:val="24"/>
          <w:szCs w:val="24"/>
        </w:rPr>
      </w:pPr>
      <w:r>
        <w:rPr>
          <w:rFonts w:hint="eastAsia" w:asciiTheme="minorEastAsia" w:hAnsiTheme="minorEastAsia"/>
          <w:bCs/>
          <w:sz w:val="24"/>
          <w:szCs w:val="24"/>
        </w:rPr>
        <w:t>针对工业软件上游各供应链漏洞信息的来源和形态之间异构性高这一问题，研究基于多源异构的供应链知识图谱构建技术，加速风险感知，细化风险定位以及丰富风险描述，高效提供潜在风险原因、种类、修复方案等信息，并融合多渠道信息评估漏洞威胁级别和优先级。</w:t>
      </w:r>
    </w:p>
    <w:p>
      <w:pPr>
        <w:ind w:firstLine="562" w:firstLineChars="200"/>
        <w:rPr>
          <w:rFonts w:ascii="Times New Roman" w:hAnsi="Times New Roman" w:eastAsia="宋体" w:cs="Times New Roman"/>
          <w:b/>
          <w:sz w:val="28"/>
        </w:rPr>
      </w:pPr>
      <w:r>
        <w:rPr>
          <w:rFonts w:ascii="Times New Roman" w:hAnsi="Times New Roman" w:eastAsia="宋体" w:cs="Times New Roman"/>
          <w:b/>
          <w:sz w:val="28"/>
        </w:rPr>
        <w:t>3.验收指标</w:t>
      </w:r>
    </w:p>
    <w:p>
      <w:pPr>
        <w:ind w:firstLine="560" w:firstLineChars="200"/>
        <w:rPr>
          <w:rFonts w:hint="eastAsia" w:ascii="Times New Roman" w:hAnsi="Times New Roman" w:eastAsia="宋体" w:cs="Times New Roman"/>
          <w:sz w:val="28"/>
          <w:lang w:eastAsia="zh-CN"/>
        </w:rPr>
      </w:pPr>
      <w:r>
        <w:rPr>
          <w:rFonts w:hint="eastAsia" w:ascii="Times New Roman" w:hAnsi="Times New Roman" w:eastAsia="宋体" w:cs="Times New Roman"/>
          <w:sz w:val="28"/>
          <w:lang w:eastAsia="zh-CN"/>
        </w:rPr>
        <w:t>（1）论文：发表1篇软件工程及相关领域高水平会议或期刊；</w:t>
      </w:r>
    </w:p>
    <w:p>
      <w:pPr>
        <w:ind w:firstLine="560" w:firstLineChars="200"/>
        <w:rPr>
          <w:rFonts w:hint="eastAsia" w:ascii="Times New Roman" w:hAnsi="Times New Roman" w:eastAsia="宋体" w:cs="Times New Roman"/>
          <w:sz w:val="28"/>
          <w:lang w:eastAsia="zh-CN"/>
        </w:rPr>
      </w:pPr>
      <w:r>
        <w:rPr>
          <w:rFonts w:hint="eastAsia" w:ascii="Times New Roman" w:hAnsi="Times New Roman" w:eastAsia="宋体" w:cs="Times New Roman"/>
          <w:sz w:val="28"/>
          <w:lang w:eastAsia="zh-CN"/>
        </w:rPr>
        <w:t>（2）专利：申请基于工业软件供应链的风险治理的相关专利1</w:t>
      </w:r>
      <w:r>
        <w:rPr>
          <w:rFonts w:hint="eastAsia" w:ascii="Times New Roman" w:hAnsi="Times New Roman" w:eastAsia="宋体" w:cs="Times New Roman"/>
          <w:sz w:val="28"/>
          <w:lang w:val="en-US" w:eastAsia="zh-CN"/>
        </w:rPr>
        <w:t>项；</w:t>
      </w:r>
    </w:p>
    <w:p>
      <w:pPr>
        <w:ind w:firstLine="560" w:firstLineChars="200"/>
        <w:rPr>
          <w:rFonts w:hint="eastAsia" w:ascii="Times New Roman" w:hAnsi="Times New Roman" w:eastAsia="宋体" w:cs="Times New Roman"/>
          <w:sz w:val="28"/>
          <w:lang w:eastAsia="zh-CN"/>
        </w:rPr>
      </w:pPr>
      <w:r>
        <w:rPr>
          <w:rFonts w:hint="eastAsia" w:ascii="Times New Roman" w:hAnsi="Times New Roman" w:eastAsia="宋体" w:cs="Times New Roman"/>
          <w:sz w:val="28"/>
          <w:lang w:eastAsia="zh-CN"/>
        </w:rPr>
        <w:t>（3）（3）原型系统和算法：实现1个大规模工业软件成分分析以及漏洞智能感知平台，平台包含：对集成大规模组件的工业软件多次层穿透分析技术，需要在源码以及字节码文件等多制品形式上实现成分穿透和提取技术，保证成分提取的完成度在85%以上；建立一种针对工业软件的软件成分清单的格式，能够表示项目粒度以及函数粒度等粒度的成分之间的关系；构建一个多源异构安全漏洞知识库的漏洞知识图谱，其中安全漏洞知识库的来源不少于2个，每个知识库内漏洞数量应达到万级，并开展应用验证。</w:t>
      </w:r>
    </w:p>
    <w:p>
      <w:pPr>
        <w:ind w:firstLine="562" w:firstLineChars="200"/>
        <w:rPr>
          <w:rFonts w:asciiTheme="minorEastAsia" w:hAnsiTheme="minorEastAsia"/>
          <w:b/>
          <w:sz w:val="28"/>
        </w:rPr>
      </w:pPr>
      <w:r>
        <w:rPr>
          <w:rFonts w:asciiTheme="minorEastAsia" w:hAnsiTheme="minorEastAsia"/>
          <w:b/>
          <w:sz w:val="28"/>
        </w:rPr>
        <w:t>4.</w:t>
      </w:r>
      <w:r>
        <w:rPr>
          <w:rFonts w:hint="eastAsia" w:asciiTheme="minorEastAsia" w:hAnsiTheme="minorEastAsia"/>
          <w:b/>
          <w:sz w:val="28"/>
        </w:rPr>
        <w:t>完成年限</w:t>
      </w:r>
    </w:p>
    <w:p>
      <w:pPr>
        <w:ind w:firstLine="560" w:firstLineChars="200"/>
        <w:rPr>
          <w:rFonts w:asciiTheme="minorEastAsia" w:hAnsiTheme="minorEastAsia"/>
          <w:sz w:val="28"/>
        </w:rPr>
      </w:pPr>
      <w:r>
        <w:rPr>
          <w:rFonts w:hint="eastAsia" w:asciiTheme="minorEastAsia" w:hAnsiTheme="minorEastAsia"/>
          <w:sz w:val="28"/>
          <w:lang w:val="en-US" w:eastAsia="zh-CN"/>
        </w:rPr>
        <w:t>1</w:t>
      </w:r>
      <w:r>
        <w:rPr>
          <w:rFonts w:hint="eastAsia" w:asciiTheme="minorEastAsia" w:hAnsiTheme="minorEastAsia"/>
          <w:sz w:val="28"/>
        </w:rPr>
        <w:t>年。</w:t>
      </w:r>
    </w:p>
    <w:p>
      <w:pPr>
        <w:ind w:firstLine="562" w:firstLineChars="200"/>
        <w:rPr>
          <w:rFonts w:asciiTheme="minorEastAsia" w:hAnsiTheme="minorEastAsia"/>
          <w:b/>
          <w:sz w:val="28"/>
        </w:rPr>
      </w:pPr>
      <w:r>
        <w:rPr>
          <w:rFonts w:asciiTheme="minorEastAsia" w:hAnsiTheme="minorEastAsia"/>
          <w:b/>
          <w:sz w:val="28"/>
        </w:rPr>
        <w:t>5.</w:t>
      </w:r>
      <w:r>
        <w:rPr>
          <w:rFonts w:hint="eastAsia" w:asciiTheme="minorEastAsia" w:hAnsiTheme="minorEastAsia"/>
          <w:b/>
          <w:sz w:val="28"/>
        </w:rPr>
        <w:t>资助金额</w:t>
      </w:r>
    </w:p>
    <w:p>
      <w:pPr>
        <w:ind w:firstLine="560" w:firstLineChars="200"/>
        <w:rPr>
          <w:rFonts w:hint="eastAsia" w:asciiTheme="minorEastAsia" w:hAnsiTheme="minorEastAsia"/>
          <w:sz w:val="28"/>
        </w:rPr>
      </w:pPr>
      <w:r>
        <w:rPr>
          <w:rFonts w:hint="eastAsia" w:asciiTheme="minorEastAsia" w:hAnsiTheme="minorEastAsia"/>
          <w:sz w:val="28"/>
          <w:lang w:val="en-US" w:eastAsia="zh-CN"/>
        </w:rPr>
        <w:t>2</w:t>
      </w:r>
      <w:r>
        <w:rPr>
          <w:rFonts w:hint="eastAsia" w:asciiTheme="minorEastAsia" w:hAnsiTheme="minorEastAsia"/>
          <w:sz w:val="28"/>
        </w:rPr>
        <w:t>0万元。</w:t>
      </w:r>
    </w:p>
    <w:p>
      <w:pPr>
        <w:pStyle w:val="2"/>
        <w:spacing w:before="156" w:beforeLines="50" w:after="156" w:afterLines="50" w:line="240" w:lineRule="auto"/>
        <w:rPr>
          <w:rFonts w:ascii="黑体" w:hAnsi="黑体" w:eastAsia="黑体"/>
          <w:sz w:val="28"/>
        </w:rPr>
      </w:pPr>
      <w:r>
        <w:rPr>
          <w:rFonts w:hint="eastAsia" w:ascii="黑体" w:hAnsi="黑体" w:eastAsia="黑体"/>
          <w:sz w:val="28"/>
        </w:rPr>
        <w:t>二、申报条件要求</w:t>
      </w:r>
    </w:p>
    <w:p>
      <w:pPr>
        <w:ind w:firstLine="560" w:firstLineChars="200"/>
        <w:rPr>
          <w:rFonts w:asciiTheme="minorEastAsia" w:hAnsiTheme="minorEastAsia"/>
          <w:sz w:val="28"/>
        </w:rPr>
      </w:pPr>
      <w:r>
        <w:rPr>
          <w:rFonts w:hint="eastAsia" w:asciiTheme="minorEastAsia" w:hAnsiTheme="minorEastAsia"/>
          <w:sz w:val="28"/>
        </w:rPr>
        <w:t>开放课题优先支持依托单位以外人员申请，且依托单位以外人员占比不低于50%。申请人原则上应具有副高级以上技术职称（或已获得博士学位）。申请人必须与至少1名本实验室固定成员就开放课题进行合作。申请人要求详情如下：</w:t>
      </w:r>
    </w:p>
    <w:p>
      <w:pPr>
        <w:ind w:firstLine="560" w:firstLineChars="200"/>
        <w:rPr>
          <w:rFonts w:asciiTheme="minorEastAsia" w:hAnsiTheme="minorEastAsia"/>
          <w:sz w:val="28"/>
        </w:rPr>
      </w:pPr>
      <w:r>
        <w:rPr>
          <w:rFonts w:hint="eastAsia" w:asciiTheme="minorEastAsia" w:hAnsiTheme="minorEastAsia"/>
          <w:sz w:val="28"/>
        </w:rPr>
        <w:t>（1）申请人必须是开放课题的实际负责人，年龄在55周岁以下，一般应具有高级专业技术职务或已获得博士学位，并有足够的时间和精力从事所申请课题的研究。</w:t>
      </w:r>
    </w:p>
    <w:p>
      <w:pPr>
        <w:ind w:firstLine="560" w:firstLineChars="200"/>
        <w:rPr>
          <w:rFonts w:asciiTheme="minorEastAsia" w:hAnsiTheme="minorEastAsia"/>
          <w:sz w:val="28"/>
        </w:rPr>
      </w:pPr>
      <w:r>
        <w:rPr>
          <w:rFonts w:hint="eastAsia" w:asciiTheme="minorEastAsia" w:hAnsiTheme="minorEastAsia"/>
          <w:sz w:val="28"/>
        </w:rPr>
        <w:t>（2）具有中级专业技术职务但未获得博士学位的申请人，必须由2名具有高级专业技术职务的同行专家进行书面推荐。</w:t>
      </w:r>
    </w:p>
    <w:p>
      <w:pPr>
        <w:ind w:firstLine="560" w:firstLineChars="200"/>
        <w:rPr>
          <w:rFonts w:asciiTheme="minorEastAsia" w:hAnsiTheme="minorEastAsia"/>
          <w:sz w:val="28"/>
        </w:rPr>
      </w:pPr>
      <w:r>
        <w:rPr>
          <w:rFonts w:hint="eastAsia" w:asciiTheme="minorEastAsia" w:hAnsiTheme="minorEastAsia"/>
          <w:sz w:val="28"/>
        </w:rPr>
        <w:t>（3）因在读博士、硕士研究生流动性较大，不易管理，所以研究生不能作为负责人申请开放课题，但可以参与开放课题的研究工作。</w:t>
      </w:r>
    </w:p>
    <w:p>
      <w:pPr>
        <w:ind w:firstLine="560" w:firstLineChars="200"/>
        <w:rPr>
          <w:rFonts w:asciiTheme="minorEastAsia" w:hAnsiTheme="minorEastAsia"/>
          <w:sz w:val="28"/>
        </w:rPr>
      </w:pPr>
      <w:r>
        <w:rPr>
          <w:rFonts w:hint="eastAsia" w:asciiTheme="minorEastAsia" w:hAnsiTheme="minorEastAsia"/>
          <w:sz w:val="28"/>
        </w:rPr>
        <w:t>（4）所外人员申请的开放课题必须有所内35岁以下青年科技人员参加。所外人员承担我所的课题不得同时超过2项（包括主持和参加数）。</w:t>
      </w:r>
    </w:p>
    <w:p>
      <w:pPr>
        <w:ind w:firstLine="560" w:firstLineChars="200"/>
        <w:rPr>
          <w:rFonts w:asciiTheme="minorEastAsia" w:hAnsiTheme="minorEastAsia"/>
          <w:sz w:val="28"/>
        </w:rPr>
      </w:pPr>
      <w:r>
        <w:rPr>
          <w:rFonts w:hint="eastAsia" w:asciiTheme="minorEastAsia" w:hAnsiTheme="minorEastAsia"/>
          <w:sz w:val="28"/>
        </w:rPr>
        <w:t>（5）所内人员申请的开放课题原则上要求有所外合作单位和人员，但所外合作单位不得超过2个。所内人员主持承担的所内项目（课题）不得同时超过2项（包括开放课题、所内其它课题资助项目和部门专项课题等）。</w:t>
      </w:r>
    </w:p>
    <w:p>
      <w:pPr>
        <w:ind w:firstLine="560" w:firstLineChars="200"/>
        <w:rPr>
          <w:rFonts w:hint="eastAsia" w:ascii="Times New Roman" w:hAnsi="Times New Roman" w:eastAsia="宋体" w:cs="Times New Roman"/>
          <w:sz w:val="28"/>
          <w:lang w:eastAsia="zh-CN"/>
        </w:rPr>
      </w:pPr>
      <w:r>
        <w:rPr>
          <w:rFonts w:hint="eastAsia" w:ascii="Times New Roman" w:hAnsi="Times New Roman" w:eastAsia="宋体" w:cs="Times New Roman"/>
          <w:sz w:val="28"/>
        </w:rPr>
        <w:t>（6）</w:t>
      </w:r>
      <w:r>
        <w:rPr>
          <w:rFonts w:ascii="Times New Roman" w:hAnsi="Times New Roman" w:eastAsia="宋体" w:cs="Times New Roman"/>
          <w:sz w:val="28"/>
        </w:rPr>
        <w:t>由重点实验室资助的课题研究成果或与所外的合作成果</w:t>
      </w:r>
      <w:r>
        <w:rPr>
          <w:rFonts w:hint="eastAsia" w:ascii="Times New Roman" w:hAnsi="Times New Roman" w:eastAsia="宋体" w:cs="Times New Roman"/>
          <w:sz w:val="28"/>
          <w:lang w:val="en-US" w:eastAsia="zh-CN"/>
        </w:rPr>
        <w:t>中</w:t>
      </w:r>
      <w:r>
        <w:rPr>
          <w:rFonts w:ascii="Times New Roman" w:hAnsi="Times New Roman" w:eastAsia="宋体" w:cs="Times New Roman"/>
          <w:sz w:val="28"/>
        </w:rPr>
        <w:t>，</w:t>
      </w:r>
      <w:r>
        <w:rPr>
          <w:rFonts w:hint="eastAsia" w:ascii="Times New Roman" w:hAnsi="Times New Roman" w:eastAsia="宋体" w:cs="Times New Roman"/>
          <w:sz w:val="28"/>
          <w:lang w:val="en-US" w:eastAsia="zh-CN"/>
        </w:rPr>
        <w:t>论文成果需将</w:t>
      </w:r>
      <w:r>
        <w:rPr>
          <w:rFonts w:ascii="Times New Roman" w:hAnsi="Times New Roman" w:eastAsia="宋体" w:cs="Times New Roman"/>
          <w:sz w:val="28"/>
        </w:rPr>
        <w:t>重点实验室</w:t>
      </w:r>
      <w:r>
        <w:rPr>
          <w:rFonts w:hint="eastAsia" w:ascii="Times New Roman" w:hAnsi="Times New Roman" w:eastAsia="宋体" w:cs="Times New Roman"/>
          <w:sz w:val="28"/>
          <w:lang w:val="en-US" w:eastAsia="zh-CN"/>
        </w:rPr>
        <w:t>固定成员</w:t>
      </w:r>
      <w:r>
        <w:rPr>
          <w:rFonts w:ascii="Times New Roman" w:hAnsi="Times New Roman" w:eastAsia="宋体" w:cs="Times New Roman"/>
          <w:sz w:val="28"/>
        </w:rPr>
        <w:t>署名为第一</w:t>
      </w:r>
      <w:r>
        <w:rPr>
          <w:rFonts w:hint="eastAsia" w:ascii="Times New Roman" w:hAnsi="Times New Roman" w:eastAsia="宋体" w:cs="Times New Roman"/>
          <w:sz w:val="28"/>
          <w:lang w:val="en-US" w:eastAsia="zh-CN"/>
        </w:rPr>
        <w:t>作者或第二作者或通讯作者</w:t>
      </w:r>
      <w:r>
        <w:rPr>
          <w:rFonts w:hint="eastAsia" w:ascii="Times New Roman" w:hAnsi="Times New Roman" w:eastAsia="宋体" w:cs="Times New Roman"/>
          <w:sz w:val="28"/>
          <w:lang w:eastAsia="zh-CN"/>
        </w:rPr>
        <w:t>，</w:t>
      </w:r>
      <w:r>
        <w:rPr>
          <w:rFonts w:hint="eastAsia" w:ascii="Times New Roman" w:hAnsi="Times New Roman" w:eastAsia="宋体" w:cs="Times New Roman"/>
          <w:sz w:val="28"/>
          <w:lang w:val="en-US" w:eastAsia="zh-CN"/>
        </w:rPr>
        <w:t>其他成果需</w:t>
      </w:r>
      <w:r>
        <w:rPr>
          <w:rFonts w:ascii="Times New Roman" w:hAnsi="Times New Roman" w:eastAsia="宋体" w:cs="Times New Roman"/>
          <w:sz w:val="28"/>
        </w:rPr>
        <w:t>将重点实验室署名为第一</w:t>
      </w:r>
      <w:r>
        <w:rPr>
          <w:rFonts w:hint="eastAsia" w:ascii="Times New Roman" w:hAnsi="Times New Roman" w:eastAsia="宋体" w:cs="Times New Roman"/>
          <w:sz w:val="28"/>
          <w:lang w:val="en-US" w:eastAsia="zh-CN"/>
        </w:rPr>
        <w:t>单位。</w:t>
      </w:r>
    </w:p>
    <w:p>
      <w:pPr>
        <w:pStyle w:val="2"/>
        <w:spacing w:before="156" w:beforeLines="50" w:after="156" w:afterLines="50" w:line="240" w:lineRule="auto"/>
        <w:rPr>
          <w:rFonts w:ascii="黑体" w:hAnsi="黑体" w:eastAsia="黑体"/>
          <w:sz w:val="28"/>
        </w:rPr>
      </w:pPr>
      <w:r>
        <w:rPr>
          <w:rFonts w:hint="eastAsia" w:ascii="黑体" w:hAnsi="黑体" w:eastAsia="黑体"/>
          <w:sz w:val="28"/>
        </w:rPr>
        <w:t>三、报送说明</w:t>
      </w:r>
    </w:p>
    <w:p>
      <w:pPr>
        <w:ind w:firstLine="560" w:firstLineChars="200"/>
        <w:rPr>
          <w:rFonts w:asciiTheme="minorEastAsia" w:hAnsiTheme="minorEastAsia"/>
          <w:sz w:val="28"/>
        </w:rPr>
      </w:pPr>
      <w:r>
        <w:rPr>
          <w:rFonts w:hint="eastAsia" w:asciiTheme="minorEastAsia" w:hAnsiTheme="minorEastAsia"/>
          <w:sz w:val="28"/>
        </w:rPr>
        <w:t>开放课题申请人须填写《工业和信息化部电子第五研究所重点实验室开放课题申请书》，一式三份（需经申请人所在单位同意并盖章），同时须提交申请书电子版。</w:t>
      </w:r>
    </w:p>
    <w:p>
      <w:pPr>
        <w:ind w:firstLine="562" w:firstLineChars="200"/>
        <w:rPr>
          <w:rFonts w:asciiTheme="minorEastAsia" w:hAnsiTheme="minorEastAsia"/>
          <w:sz w:val="28"/>
        </w:rPr>
      </w:pPr>
      <w:r>
        <w:rPr>
          <w:rFonts w:hint="eastAsia" w:asciiTheme="minorEastAsia" w:hAnsiTheme="minorEastAsia"/>
          <w:b/>
          <w:sz w:val="28"/>
        </w:rPr>
        <w:t>1.报送地址：</w:t>
      </w:r>
      <w:r>
        <w:rPr>
          <w:rFonts w:hint="eastAsia" w:asciiTheme="minorEastAsia" w:hAnsiTheme="minorEastAsia"/>
          <w:sz w:val="28"/>
        </w:rPr>
        <w:t>广州市增城区朱村大道西78号工业和信息化部电子第五研究所</w:t>
      </w:r>
      <w:r>
        <w:rPr>
          <w:rFonts w:hint="eastAsia" w:asciiTheme="minorEastAsia" w:hAnsiTheme="minorEastAsia"/>
          <w:sz w:val="28"/>
          <w:lang w:val="en-US" w:eastAsia="zh-CN"/>
        </w:rPr>
        <w:t>1</w:t>
      </w:r>
      <w:r>
        <w:rPr>
          <w:rFonts w:hint="eastAsia" w:asciiTheme="minorEastAsia" w:hAnsiTheme="minorEastAsia"/>
          <w:sz w:val="28"/>
        </w:rPr>
        <w:t>号楼</w:t>
      </w:r>
      <w:r>
        <w:rPr>
          <w:rFonts w:hint="eastAsia" w:asciiTheme="minorEastAsia" w:hAnsiTheme="minorEastAsia"/>
          <w:sz w:val="28"/>
          <w:lang w:val="en-US" w:eastAsia="zh-CN"/>
        </w:rPr>
        <w:t>504</w:t>
      </w:r>
      <w:r>
        <w:rPr>
          <w:rFonts w:hint="eastAsia" w:asciiTheme="minorEastAsia" w:hAnsiTheme="minorEastAsia"/>
          <w:sz w:val="28"/>
        </w:rPr>
        <w:t>办公室。</w:t>
      </w:r>
    </w:p>
    <w:p>
      <w:pPr>
        <w:ind w:firstLine="562" w:firstLineChars="200"/>
        <w:rPr>
          <w:rFonts w:asciiTheme="minorEastAsia" w:hAnsiTheme="minorEastAsia"/>
          <w:sz w:val="28"/>
        </w:rPr>
      </w:pPr>
      <w:r>
        <w:rPr>
          <w:rFonts w:asciiTheme="minorEastAsia" w:hAnsiTheme="minorEastAsia"/>
          <w:b/>
          <w:sz w:val="28"/>
        </w:rPr>
        <w:t>2.</w:t>
      </w:r>
      <w:r>
        <w:rPr>
          <w:rFonts w:hint="eastAsia" w:asciiTheme="minorEastAsia" w:hAnsiTheme="minorEastAsia"/>
          <w:b/>
          <w:sz w:val="28"/>
        </w:rPr>
        <w:t>联系方式：</w:t>
      </w:r>
      <w:r>
        <w:rPr>
          <w:rFonts w:hint="eastAsia" w:asciiTheme="minorEastAsia" w:hAnsiTheme="minorEastAsia"/>
          <w:bCs/>
          <w:sz w:val="28"/>
        </w:rPr>
        <w:t>林郁，linyu@ceprei.com，13697484182</w:t>
      </w:r>
    </w:p>
    <w:p>
      <w:pPr>
        <w:ind w:firstLine="562" w:firstLineChars="200"/>
        <w:rPr>
          <w:rFonts w:asciiTheme="minorEastAsia" w:hAnsiTheme="minorEastAsia"/>
          <w:sz w:val="28"/>
        </w:rPr>
      </w:pPr>
      <w:r>
        <w:rPr>
          <w:rFonts w:asciiTheme="minorEastAsia" w:hAnsiTheme="minorEastAsia"/>
          <w:b/>
          <w:sz w:val="28"/>
        </w:rPr>
        <w:t>3.</w:t>
      </w:r>
      <w:r>
        <w:rPr>
          <w:rFonts w:hint="eastAsia" w:asciiTheme="minorEastAsia" w:hAnsiTheme="minorEastAsia"/>
          <w:b/>
          <w:sz w:val="28"/>
        </w:rPr>
        <w:t>截止日期：</w:t>
      </w:r>
      <w:r>
        <w:rPr>
          <w:rFonts w:hint="eastAsia" w:asciiTheme="minorEastAsia" w:hAnsiTheme="minorEastAsia"/>
          <w:sz w:val="28"/>
        </w:rPr>
        <w:t>202</w:t>
      </w:r>
      <w:r>
        <w:rPr>
          <w:rFonts w:hint="eastAsia" w:asciiTheme="minorEastAsia" w:hAnsiTheme="minorEastAsia"/>
          <w:sz w:val="28"/>
          <w:lang w:val="en-US" w:eastAsia="zh-CN"/>
        </w:rPr>
        <w:t>2</w:t>
      </w:r>
      <w:r>
        <w:rPr>
          <w:rFonts w:hint="eastAsia" w:asciiTheme="minorEastAsia" w:hAnsiTheme="minorEastAsia"/>
          <w:sz w:val="28"/>
        </w:rPr>
        <w:t>年</w:t>
      </w:r>
      <w:r>
        <w:rPr>
          <w:rFonts w:hint="eastAsia" w:asciiTheme="minorEastAsia" w:hAnsiTheme="minorEastAsia"/>
          <w:sz w:val="28"/>
          <w:lang w:val="en-US" w:eastAsia="zh-CN"/>
        </w:rPr>
        <w:t>12</w:t>
      </w:r>
      <w:r>
        <w:rPr>
          <w:rFonts w:hint="eastAsia" w:asciiTheme="minorEastAsia" w:hAnsiTheme="minorEastAsia"/>
          <w:sz w:val="28"/>
        </w:rPr>
        <w:t>月</w:t>
      </w:r>
      <w:r>
        <w:rPr>
          <w:rFonts w:hint="eastAsia" w:asciiTheme="minorEastAsia" w:hAnsiTheme="minorEastAsia"/>
          <w:sz w:val="28"/>
          <w:lang w:val="en-US" w:eastAsia="zh-CN"/>
        </w:rPr>
        <w:t>14</w:t>
      </w:r>
      <w:r>
        <w:rPr>
          <w:rFonts w:hint="eastAsia" w:asciiTheme="minorEastAsia" w:hAnsiTheme="minorEastAsia"/>
          <w:sz w:val="28"/>
        </w:rPr>
        <w:t>日。</w:t>
      </w:r>
    </w:p>
    <w:p>
      <w:pPr>
        <w:ind w:firstLine="560" w:firstLineChars="200"/>
        <w:rPr>
          <w:rFonts w:asciiTheme="minorEastAsia" w:hAnsiTheme="minorEastAsia"/>
          <w:sz w:val="28"/>
        </w:rPr>
      </w:pPr>
    </w:p>
    <w:p>
      <w:pPr>
        <w:ind w:firstLine="560" w:firstLineChars="200"/>
        <w:rPr>
          <w:rFonts w:asciiTheme="minorEastAsia" w:hAnsiTheme="minorEastAsia"/>
          <w:sz w:val="28"/>
        </w:rPr>
      </w:pPr>
    </w:p>
    <w:p>
      <w:pPr>
        <w:ind w:firstLine="560" w:firstLineChars="200"/>
        <w:jc w:val="right"/>
        <w:rPr>
          <w:rFonts w:ascii="华光楷体二_CNKI" w:hAnsi="华光楷体二_CNKI" w:eastAsia="华光楷体二_CNKI"/>
          <w:sz w:val="28"/>
        </w:rPr>
      </w:pPr>
      <w:r>
        <w:rPr>
          <w:rFonts w:hint="eastAsia" w:ascii="华光楷体二_CNKI" w:hAnsi="华光楷体二_CNKI" w:eastAsia="华光楷体二_CNKI"/>
          <w:sz w:val="28"/>
        </w:rPr>
        <w:t>工业软件工程化与应用技术</w:t>
      </w:r>
    </w:p>
    <w:p>
      <w:pPr>
        <w:ind w:firstLine="560" w:firstLineChars="200"/>
        <w:jc w:val="right"/>
        <w:rPr>
          <w:rFonts w:ascii="华光楷体二_CNKI" w:hAnsi="华光楷体二_CNKI" w:eastAsia="华光楷体二_CNKI"/>
          <w:sz w:val="28"/>
        </w:rPr>
      </w:pPr>
      <w:r>
        <w:rPr>
          <w:rFonts w:hint="eastAsia" w:ascii="华光楷体二_CNKI" w:hAnsi="华光楷体二_CNKI" w:eastAsia="华光楷体二_CNKI"/>
          <w:sz w:val="28"/>
        </w:rPr>
        <w:t>工业和信息化部重点实验室</w:t>
      </w:r>
    </w:p>
    <w:p>
      <w:pPr>
        <w:ind w:firstLine="560" w:firstLineChars="200"/>
        <w:jc w:val="right"/>
        <w:rPr>
          <w:rFonts w:ascii="华光楷体二_CNKI" w:hAnsi="华光楷体二_CNKI" w:eastAsia="华光楷体二_CNKI"/>
          <w:sz w:val="28"/>
        </w:rPr>
      </w:pPr>
      <w:r>
        <w:rPr>
          <w:rFonts w:ascii="华光楷体二_CNKI" w:hAnsi="华光楷体二_CNKI" w:eastAsia="华光楷体二_CNKI"/>
          <w:sz w:val="28"/>
        </w:rPr>
        <w:t>2021</w:t>
      </w:r>
      <w:r>
        <w:rPr>
          <w:rFonts w:hint="eastAsia" w:ascii="华光楷体二_CNKI" w:hAnsi="华光楷体二_CNKI" w:eastAsia="华光楷体二_CNKI"/>
          <w:sz w:val="28"/>
        </w:rPr>
        <w:t>年</w:t>
      </w:r>
      <w:r>
        <w:rPr>
          <w:rFonts w:ascii="华光楷体二_CNKI" w:hAnsi="华光楷体二_CNKI" w:eastAsia="华光楷体二_CNKI"/>
          <w:sz w:val="28"/>
        </w:rPr>
        <w:t>1</w:t>
      </w:r>
      <w:r>
        <w:rPr>
          <w:rFonts w:hint="eastAsia" w:ascii="华光楷体二_CNKI" w:hAnsi="华光楷体二_CNKI" w:eastAsia="华光楷体二_CNKI"/>
          <w:sz w:val="28"/>
          <w:lang w:val="en-US" w:eastAsia="zh-CN"/>
        </w:rPr>
        <w:t>2</w:t>
      </w:r>
      <w:r>
        <w:rPr>
          <w:rFonts w:hint="eastAsia" w:ascii="华光楷体二_CNKI" w:hAnsi="华光楷体二_CNKI" w:eastAsia="华光楷体二_CNKI"/>
          <w:sz w:val="28"/>
        </w:rPr>
        <w:t>月</w:t>
      </w:r>
    </w:p>
    <w:p>
      <w:pPr>
        <w:ind w:firstLine="560" w:firstLineChars="200"/>
        <w:rPr>
          <w:rFonts w:asciiTheme="minorEastAsia" w:hAnsiTheme="minorEastAsia"/>
          <w:sz w:val="28"/>
        </w:rPr>
      </w:pPr>
      <w:bookmarkStart w:id="0" w:name="_GoBack"/>
      <w:bookmarkEnd w:id="0"/>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光小标宋_CNKI">
    <w:panose1 w:val="02000500000000000000"/>
    <w:charset w:val="86"/>
    <w:family w:val="auto"/>
    <w:pitch w:val="default"/>
    <w:sig w:usb0="A00002BF" w:usb1="38CF7CFA" w:usb2="00000016" w:usb3="00000000" w:csb0="0004000F" w:csb1="00000000"/>
  </w:font>
  <w:font w:name="华光楷体二_CNKI">
    <w:panose1 w:val="02000500000000000000"/>
    <w:charset w:val="86"/>
    <w:family w:val="auto"/>
    <w:pitch w:val="default"/>
    <w:sig w:usb0="8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175"/>
      </w:tabs>
      <w:rPr>
        <w:rFonts w:ascii="Times New Roman" w:hAnsi="Times New Roman" w:eastAsia="仿宋" w:cs="Times New Roman"/>
        <w:sz w:val="21"/>
        <w:szCs w:val="21"/>
      </w:rPr>
    </w:pPr>
    <w:r>
      <w:rPr>
        <w:rFonts w:ascii="Times New Roman" w:hAnsi="Times New Roman" w:eastAsia="仿宋" w:cs="Times New Roman"/>
        <w:sz w:val="21"/>
        <w:szCs w:val="21"/>
      </w:rPr>
      <w:tab/>
    </w:r>
    <w:sdt>
      <w:sdtPr>
        <w:rPr>
          <w:rFonts w:ascii="Times New Roman" w:hAnsi="Times New Roman" w:eastAsia="仿宋" w:cs="Times New Roman"/>
          <w:sz w:val="21"/>
          <w:szCs w:val="21"/>
        </w:rPr>
        <w:id w:val="2141227186"/>
      </w:sdtPr>
      <w:sdtEndPr>
        <w:rPr>
          <w:rFonts w:ascii="Times New Roman" w:hAnsi="Times New Roman" w:eastAsia="仿宋" w:cs="Times New Roman"/>
          <w:sz w:val="21"/>
          <w:szCs w:val="21"/>
        </w:rPr>
      </w:sdtEndPr>
      <w:sdtContent>
        <w:r>
          <w:rPr>
            <w:rFonts w:ascii="Times New Roman" w:hAnsi="Times New Roman" w:eastAsia="仿宋" w:cs="Times New Roman"/>
            <w:sz w:val="21"/>
            <w:szCs w:val="21"/>
          </w:rPr>
          <w:fldChar w:fldCharType="begin"/>
        </w:r>
        <w:r>
          <w:rPr>
            <w:rFonts w:ascii="Times New Roman" w:hAnsi="Times New Roman" w:eastAsia="仿宋" w:cs="Times New Roman"/>
            <w:sz w:val="21"/>
            <w:szCs w:val="21"/>
          </w:rPr>
          <w:instrText xml:space="preserve">PAGE   \* MERGEFORMAT</w:instrText>
        </w:r>
        <w:r>
          <w:rPr>
            <w:rFonts w:ascii="Times New Roman" w:hAnsi="Times New Roman" w:eastAsia="仿宋" w:cs="Times New Roman"/>
            <w:sz w:val="21"/>
            <w:szCs w:val="21"/>
          </w:rPr>
          <w:fldChar w:fldCharType="separate"/>
        </w:r>
        <w:r>
          <w:rPr>
            <w:rFonts w:ascii="Times New Roman" w:hAnsi="Times New Roman" w:eastAsia="仿宋" w:cs="Times New Roman"/>
            <w:sz w:val="21"/>
            <w:szCs w:val="21"/>
            <w:lang w:val="zh-CN"/>
          </w:rPr>
          <w:t>6</w:t>
        </w:r>
        <w:r>
          <w:rPr>
            <w:rFonts w:ascii="Times New Roman" w:hAnsi="Times New Roman" w:eastAsia="仿宋" w:cs="Times New Roman"/>
            <w:sz w:val="21"/>
            <w:szCs w:val="21"/>
          </w:rPr>
          <w:fldChar w:fldCharType="end"/>
        </w:r>
      </w:sdtContent>
    </w:sdt>
    <w:r>
      <w:rPr>
        <w:rFonts w:ascii="Times New Roman" w:hAnsi="Times New Roman" w:eastAsia="仿宋" w:cs="Times New Roman"/>
        <w:sz w:val="21"/>
        <w:szCs w:val="21"/>
      </w:rPr>
      <w:tab/>
    </w:r>
  </w:p>
  <w:p>
    <w:pPr>
      <w:pStyle w:val="5"/>
      <w:tabs>
        <w:tab w:val="left" w:pos="4959"/>
        <w:tab w:val="clear" w:pos="4153"/>
        <w:tab w:val="clear" w:pos="8306"/>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46968"/>
    <w:multiLevelType w:val="multilevel"/>
    <w:tmpl w:val="07E46968"/>
    <w:lvl w:ilvl="0" w:tentative="0">
      <w:start w:val="1"/>
      <w:numFmt w:val="bullet"/>
      <w:lvlText w:val=""/>
      <w:lvlJc w:val="left"/>
      <w:pPr>
        <w:ind w:left="1560" w:hanging="420"/>
      </w:pPr>
      <w:rPr>
        <w:rFonts w:hint="default" w:ascii="Wingdings" w:hAnsi="Wingdings"/>
      </w:rPr>
    </w:lvl>
    <w:lvl w:ilvl="1" w:tentative="0">
      <w:start w:val="1"/>
      <w:numFmt w:val="bullet"/>
      <w:lvlText w:val=""/>
      <w:lvlJc w:val="left"/>
      <w:pPr>
        <w:ind w:left="1980" w:hanging="420"/>
      </w:pPr>
      <w:rPr>
        <w:rFonts w:hint="default" w:ascii="Wingdings" w:hAnsi="Wingdings"/>
      </w:rPr>
    </w:lvl>
    <w:lvl w:ilvl="2" w:tentative="0">
      <w:start w:val="1"/>
      <w:numFmt w:val="bullet"/>
      <w:lvlText w:val=""/>
      <w:lvlJc w:val="left"/>
      <w:pPr>
        <w:ind w:left="2400" w:hanging="420"/>
      </w:pPr>
      <w:rPr>
        <w:rFonts w:hint="default" w:ascii="Wingdings" w:hAnsi="Wingdings"/>
      </w:rPr>
    </w:lvl>
    <w:lvl w:ilvl="3" w:tentative="0">
      <w:start w:val="1"/>
      <w:numFmt w:val="bullet"/>
      <w:lvlText w:val=""/>
      <w:lvlJc w:val="left"/>
      <w:pPr>
        <w:ind w:left="2820" w:hanging="420"/>
      </w:pPr>
      <w:rPr>
        <w:rFonts w:hint="default" w:ascii="Wingdings" w:hAnsi="Wingdings"/>
      </w:rPr>
    </w:lvl>
    <w:lvl w:ilvl="4" w:tentative="0">
      <w:start w:val="1"/>
      <w:numFmt w:val="bullet"/>
      <w:lvlText w:val=""/>
      <w:lvlJc w:val="left"/>
      <w:pPr>
        <w:ind w:left="3240" w:hanging="420"/>
      </w:pPr>
      <w:rPr>
        <w:rFonts w:hint="default" w:ascii="Wingdings" w:hAnsi="Wingdings"/>
      </w:rPr>
    </w:lvl>
    <w:lvl w:ilvl="5" w:tentative="0">
      <w:start w:val="1"/>
      <w:numFmt w:val="bullet"/>
      <w:lvlText w:val=""/>
      <w:lvlJc w:val="left"/>
      <w:pPr>
        <w:ind w:left="3660" w:hanging="420"/>
      </w:pPr>
      <w:rPr>
        <w:rFonts w:hint="default" w:ascii="Wingdings" w:hAnsi="Wingdings"/>
      </w:rPr>
    </w:lvl>
    <w:lvl w:ilvl="6" w:tentative="0">
      <w:start w:val="1"/>
      <w:numFmt w:val="bullet"/>
      <w:lvlText w:val=""/>
      <w:lvlJc w:val="left"/>
      <w:pPr>
        <w:ind w:left="4080" w:hanging="420"/>
      </w:pPr>
      <w:rPr>
        <w:rFonts w:hint="default" w:ascii="Wingdings" w:hAnsi="Wingdings"/>
      </w:rPr>
    </w:lvl>
    <w:lvl w:ilvl="7" w:tentative="0">
      <w:start w:val="1"/>
      <w:numFmt w:val="bullet"/>
      <w:lvlText w:val=""/>
      <w:lvlJc w:val="left"/>
      <w:pPr>
        <w:ind w:left="4500" w:hanging="420"/>
      </w:pPr>
      <w:rPr>
        <w:rFonts w:hint="default" w:ascii="Wingdings" w:hAnsi="Wingdings"/>
      </w:rPr>
    </w:lvl>
    <w:lvl w:ilvl="8" w:tentative="0">
      <w:start w:val="1"/>
      <w:numFmt w:val="bullet"/>
      <w:lvlText w:val=""/>
      <w:lvlJc w:val="left"/>
      <w:pPr>
        <w:ind w:left="4920" w:hanging="420"/>
      </w:pPr>
      <w:rPr>
        <w:rFonts w:hint="default" w:ascii="Wingdings" w:hAnsi="Wingdings"/>
      </w:rPr>
    </w:lvl>
  </w:abstractNum>
  <w:abstractNum w:abstractNumId="1">
    <w:nsid w:val="712747A3"/>
    <w:multiLevelType w:val="multilevel"/>
    <w:tmpl w:val="712747A3"/>
    <w:lvl w:ilvl="0" w:tentative="0">
      <w:start w:val="1"/>
      <w:numFmt w:val="bullet"/>
      <w:lvlText w:val=""/>
      <w:lvlJc w:val="left"/>
      <w:pPr>
        <w:ind w:left="1560" w:hanging="420"/>
      </w:pPr>
      <w:rPr>
        <w:rFonts w:hint="default" w:ascii="Wingdings" w:hAnsi="Wingdings"/>
      </w:rPr>
    </w:lvl>
    <w:lvl w:ilvl="1" w:tentative="0">
      <w:start w:val="1"/>
      <w:numFmt w:val="bullet"/>
      <w:lvlText w:val=""/>
      <w:lvlJc w:val="left"/>
      <w:pPr>
        <w:ind w:left="1980" w:hanging="420"/>
      </w:pPr>
      <w:rPr>
        <w:rFonts w:hint="default" w:ascii="Wingdings" w:hAnsi="Wingdings"/>
      </w:rPr>
    </w:lvl>
    <w:lvl w:ilvl="2" w:tentative="0">
      <w:start w:val="1"/>
      <w:numFmt w:val="bullet"/>
      <w:lvlText w:val=""/>
      <w:lvlJc w:val="left"/>
      <w:pPr>
        <w:ind w:left="2400" w:hanging="420"/>
      </w:pPr>
      <w:rPr>
        <w:rFonts w:hint="default" w:ascii="Wingdings" w:hAnsi="Wingdings"/>
      </w:rPr>
    </w:lvl>
    <w:lvl w:ilvl="3" w:tentative="0">
      <w:start w:val="1"/>
      <w:numFmt w:val="bullet"/>
      <w:lvlText w:val=""/>
      <w:lvlJc w:val="left"/>
      <w:pPr>
        <w:ind w:left="2820" w:hanging="420"/>
      </w:pPr>
      <w:rPr>
        <w:rFonts w:hint="default" w:ascii="Wingdings" w:hAnsi="Wingdings"/>
      </w:rPr>
    </w:lvl>
    <w:lvl w:ilvl="4" w:tentative="0">
      <w:start w:val="1"/>
      <w:numFmt w:val="bullet"/>
      <w:lvlText w:val=""/>
      <w:lvlJc w:val="left"/>
      <w:pPr>
        <w:ind w:left="3240" w:hanging="420"/>
      </w:pPr>
      <w:rPr>
        <w:rFonts w:hint="default" w:ascii="Wingdings" w:hAnsi="Wingdings"/>
      </w:rPr>
    </w:lvl>
    <w:lvl w:ilvl="5" w:tentative="0">
      <w:start w:val="1"/>
      <w:numFmt w:val="bullet"/>
      <w:lvlText w:val=""/>
      <w:lvlJc w:val="left"/>
      <w:pPr>
        <w:ind w:left="3660" w:hanging="420"/>
      </w:pPr>
      <w:rPr>
        <w:rFonts w:hint="default" w:ascii="Wingdings" w:hAnsi="Wingdings"/>
      </w:rPr>
    </w:lvl>
    <w:lvl w:ilvl="6" w:tentative="0">
      <w:start w:val="1"/>
      <w:numFmt w:val="bullet"/>
      <w:lvlText w:val=""/>
      <w:lvlJc w:val="left"/>
      <w:pPr>
        <w:ind w:left="4080" w:hanging="420"/>
      </w:pPr>
      <w:rPr>
        <w:rFonts w:hint="default" w:ascii="Wingdings" w:hAnsi="Wingdings"/>
      </w:rPr>
    </w:lvl>
    <w:lvl w:ilvl="7" w:tentative="0">
      <w:start w:val="1"/>
      <w:numFmt w:val="bullet"/>
      <w:lvlText w:val=""/>
      <w:lvlJc w:val="left"/>
      <w:pPr>
        <w:ind w:left="4500" w:hanging="420"/>
      </w:pPr>
      <w:rPr>
        <w:rFonts w:hint="default" w:ascii="Wingdings" w:hAnsi="Wingdings"/>
      </w:rPr>
    </w:lvl>
    <w:lvl w:ilvl="8" w:tentative="0">
      <w:start w:val="1"/>
      <w:numFmt w:val="bullet"/>
      <w:lvlText w:val=""/>
      <w:lvlJc w:val="left"/>
      <w:pPr>
        <w:ind w:left="4920" w:hanging="420"/>
      </w:pPr>
      <w:rPr>
        <w:rFonts w:hint="default" w:ascii="Wingdings" w:hAnsi="Wingdings"/>
      </w:rPr>
    </w:lvl>
  </w:abstractNum>
  <w:abstractNum w:abstractNumId="2">
    <w:nsid w:val="7B071112"/>
    <w:multiLevelType w:val="multilevel"/>
    <w:tmpl w:val="7B071112"/>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xNzk2ZGU4ZGQzYmIyOWRmMTAzMGEwOTg2N2UyYzQifQ=="/>
  </w:docVars>
  <w:rsids>
    <w:rsidRoot w:val="00CB4982"/>
    <w:rsid w:val="000244D4"/>
    <w:rsid w:val="00096E04"/>
    <w:rsid w:val="000D2030"/>
    <w:rsid w:val="000E2E2C"/>
    <w:rsid w:val="000E70DE"/>
    <w:rsid w:val="0015059C"/>
    <w:rsid w:val="00150A3F"/>
    <w:rsid w:val="001543FC"/>
    <w:rsid w:val="0018456F"/>
    <w:rsid w:val="00227721"/>
    <w:rsid w:val="0023232A"/>
    <w:rsid w:val="00294A58"/>
    <w:rsid w:val="002B4C44"/>
    <w:rsid w:val="002D6183"/>
    <w:rsid w:val="002E5724"/>
    <w:rsid w:val="002F155E"/>
    <w:rsid w:val="00306582"/>
    <w:rsid w:val="0031272D"/>
    <w:rsid w:val="003441E8"/>
    <w:rsid w:val="00345C01"/>
    <w:rsid w:val="00354AA6"/>
    <w:rsid w:val="0035735A"/>
    <w:rsid w:val="003620D7"/>
    <w:rsid w:val="003A5179"/>
    <w:rsid w:val="00407341"/>
    <w:rsid w:val="00480087"/>
    <w:rsid w:val="004A5D0D"/>
    <w:rsid w:val="004C2404"/>
    <w:rsid w:val="00531661"/>
    <w:rsid w:val="005A2D72"/>
    <w:rsid w:val="005C5E58"/>
    <w:rsid w:val="005D7703"/>
    <w:rsid w:val="0061428F"/>
    <w:rsid w:val="006237B2"/>
    <w:rsid w:val="006360EE"/>
    <w:rsid w:val="006B122C"/>
    <w:rsid w:val="006C3AA1"/>
    <w:rsid w:val="006E496E"/>
    <w:rsid w:val="00747A84"/>
    <w:rsid w:val="007E4E8C"/>
    <w:rsid w:val="007F3AAC"/>
    <w:rsid w:val="007F5F27"/>
    <w:rsid w:val="008B2607"/>
    <w:rsid w:val="008F698B"/>
    <w:rsid w:val="00910259"/>
    <w:rsid w:val="00912E88"/>
    <w:rsid w:val="00933B99"/>
    <w:rsid w:val="00A07AF7"/>
    <w:rsid w:val="00A26017"/>
    <w:rsid w:val="00AA74F5"/>
    <w:rsid w:val="00AD1B74"/>
    <w:rsid w:val="00AE0479"/>
    <w:rsid w:val="00AE2052"/>
    <w:rsid w:val="00AE5BCC"/>
    <w:rsid w:val="00B6263B"/>
    <w:rsid w:val="00C2217E"/>
    <w:rsid w:val="00C61E91"/>
    <w:rsid w:val="00C7329E"/>
    <w:rsid w:val="00C753E5"/>
    <w:rsid w:val="00CB4982"/>
    <w:rsid w:val="00CC576F"/>
    <w:rsid w:val="00D51385"/>
    <w:rsid w:val="00D64176"/>
    <w:rsid w:val="00D755E8"/>
    <w:rsid w:val="00DA0AA1"/>
    <w:rsid w:val="00DE3300"/>
    <w:rsid w:val="00DE5405"/>
    <w:rsid w:val="00E46A73"/>
    <w:rsid w:val="00E643F2"/>
    <w:rsid w:val="00E958DD"/>
    <w:rsid w:val="00EF0B75"/>
    <w:rsid w:val="00EF0D70"/>
    <w:rsid w:val="00EF2454"/>
    <w:rsid w:val="00F43D7C"/>
    <w:rsid w:val="00F67B87"/>
    <w:rsid w:val="00FB288D"/>
    <w:rsid w:val="00FC3D28"/>
    <w:rsid w:val="00FC5DF6"/>
    <w:rsid w:val="00FD50A3"/>
    <w:rsid w:val="00FE7DC5"/>
    <w:rsid w:val="00FF5418"/>
    <w:rsid w:val="02481CE6"/>
    <w:rsid w:val="05DD3E01"/>
    <w:rsid w:val="07576BC7"/>
    <w:rsid w:val="0B0A5B9E"/>
    <w:rsid w:val="0C063E9F"/>
    <w:rsid w:val="0D0C48B3"/>
    <w:rsid w:val="0DC16250"/>
    <w:rsid w:val="0E176E8A"/>
    <w:rsid w:val="0E4B7FA5"/>
    <w:rsid w:val="0FA80F03"/>
    <w:rsid w:val="1C5A0E24"/>
    <w:rsid w:val="1E5E1AED"/>
    <w:rsid w:val="25C319F2"/>
    <w:rsid w:val="28260870"/>
    <w:rsid w:val="286D63F3"/>
    <w:rsid w:val="2D48223C"/>
    <w:rsid w:val="37EB1B04"/>
    <w:rsid w:val="465B47F3"/>
    <w:rsid w:val="47C4320E"/>
    <w:rsid w:val="53367161"/>
    <w:rsid w:val="5C137246"/>
    <w:rsid w:val="5E955433"/>
    <w:rsid w:val="60284367"/>
    <w:rsid w:val="62BA7AC3"/>
    <w:rsid w:val="633164E1"/>
    <w:rsid w:val="65A06E42"/>
    <w:rsid w:val="661051E6"/>
    <w:rsid w:val="67D33096"/>
    <w:rsid w:val="6A066E14"/>
    <w:rsid w:val="6F887A72"/>
    <w:rsid w:val="7048049D"/>
    <w:rsid w:val="70A76B3E"/>
    <w:rsid w:val="71CB2A09"/>
    <w:rsid w:val="7309660A"/>
    <w:rsid w:val="77573893"/>
    <w:rsid w:val="7CA5702A"/>
    <w:rsid w:val="7F056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4"/>
    <w:semiHidden/>
    <w:unhideWhenUsed/>
    <w:qFormat/>
    <w:uiPriority w:val="99"/>
    <w:pPr>
      <w:ind w:left="100" w:leftChars="250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character" w:customStyle="1" w:styleId="12">
    <w:name w:val="标题 2 字符"/>
    <w:basedOn w:val="8"/>
    <w:link w:val="3"/>
    <w:qFormat/>
    <w:uiPriority w:val="9"/>
    <w:rPr>
      <w:rFonts w:asciiTheme="majorHAnsi" w:hAnsiTheme="majorHAnsi" w:eastAsiaTheme="majorEastAsia" w:cstheme="majorBidi"/>
      <w:b/>
      <w:bCs/>
      <w:sz w:val="32"/>
      <w:szCs w:val="32"/>
    </w:rPr>
  </w:style>
  <w:style w:type="character" w:customStyle="1" w:styleId="13">
    <w:name w:val="标题 1 字符"/>
    <w:basedOn w:val="8"/>
    <w:link w:val="2"/>
    <w:qFormat/>
    <w:uiPriority w:val="9"/>
    <w:rPr>
      <w:b/>
      <w:bCs/>
      <w:kern w:val="44"/>
      <w:sz w:val="44"/>
      <w:szCs w:val="44"/>
    </w:rPr>
  </w:style>
  <w:style w:type="character" w:customStyle="1" w:styleId="14">
    <w:name w:val="日期 字符"/>
    <w:basedOn w:val="8"/>
    <w:link w:val="4"/>
    <w:semiHidden/>
    <w:qFormat/>
    <w:uiPriority w:val="99"/>
  </w:style>
  <w:style w:type="paragraph" w:styleId="15">
    <w:name w:val="List Paragraph"/>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5AAA-05E4-4FF2-AEF7-7D773792932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4118</Words>
  <Characters>4271</Characters>
  <Lines>26</Lines>
  <Paragraphs>7</Paragraphs>
  <TotalTime>18</TotalTime>
  <ScaleCrop>false</ScaleCrop>
  <LinksUpToDate>false</LinksUpToDate>
  <CharactersWithSpaces>4516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2021-06-07T05:52:00Z</dcterms:created>
  <dc:creator>chenyuetong</dc:creator>
  <cp:lastModifiedBy>林郁</cp:lastModifiedBy>
  <dcterms:modified xsi:type="dcterms:W3CDTF">2022-12-07T01:11:00Z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7DDCDB13D20244EBBACB9635D2281D33</vt:lpwstr>
  </property>
</Properties>
</file>